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color w:val="auto"/>
          <w:sz w:val="44"/>
          <w:szCs w:val="44"/>
        </w:rPr>
      </w:pPr>
    </w:p>
    <w:p w14:paraId="0722EA08">
      <w:pPr>
        <w:jc w:val="center"/>
        <w:rPr>
          <w:rFonts w:ascii="黑体" w:hAnsi="黑体" w:eastAsia="黑体"/>
          <w:color w:val="auto"/>
          <w:sz w:val="44"/>
          <w:szCs w:val="44"/>
        </w:rPr>
      </w:pPr>
    </w:p>
    <w:p w14:paraId="5712AD97">
      <w:pPr>
        <w:jc w:val="center"/>
        <w:rPr>
          <w:rFonts w:ascii="黑体" w:hAnsi="黑体" w:eastAsia="黑体"/>
          <w:color w:val="auto"/>
          <w:sz w:val="44"/>
          <w:szCs w:val="44"/>
        </w:rPr>
      </w:pPr>
    </w:p>
    <w:p w14:paraId="4DAE025F">
      <w:pPr>
        <w:jc w:val="center"/>
        <w:rPr>
          <w:rFonts w:ascii="黑体" w:hAnsi="黑体" w:eastAsia="黑体"/>
          <w:color w:val="auto"/>
          <w:sz w:val="44"/>
          <w:szCs w:val="44"/>
        </w:rPr>
      </w:pPr>
    </w:p>
    <w:p w14:paraId="5C6FEE61">
      <w:pPr>
        <w:jc w:val="center"/>
        <w:rPr>
          <w:rFonts w:ascii="黑体" w:hAnsi="黑体" w:eastAsia="黑体"/>
          <w:color w:val="auto"/>
          <w:sz w:val="44"/>
          <w:szCs w:val="44"/>
        </w:rPr>
      </w:pPr>
    </w:p>
    <w:p w14:paraId="0050A5F4">
      <w:pPr>
        <w:jc w:val="center"/>
        <w:rPr>
          <w:rFonts w:ascii="黑体" w:hAnsi="黑体" w:eastAsia="黑体"/>
          <w:color w:val="auto"/>
          <w:sz w:val="52"/>
          <w:szCs w:val="52"/>
          <w:highlight w:val="none"/>
        </w:rPr>
      </w:pPr>
      <w:r>
        <w:rPr>
          <w:rFonts w:hint="eastAsia" w:ascii="黑体" w:hAnsi="黑体" w:eastAsia="黑体"/>
          <w:color w:val="auto"/>
          <w:sz w:val="52"/>
          <w:szCs w:val="52"/>
          <w:highlight w:val="none"/>
          <w:lang w:val="en-US" w:eastAsia="zh-CN"/>
        </w:rPr>
        <w:t>中共永吉县委组织部</w:t>
      </w:r>
      <w:r>
        <w:rPr>
          <w:rFonts w:hint="eastAsia" w:ascii="黑体" w:hAnsi="黑体" w:eastAsia="黑体"/>
          <w:color w:val="auto"/>
          <w:sz w:val="52"/>
          <w:szCs w:val="52"/>
          <w:highlight w:val="none"/>
        </w:rPr>
        <w:t>2026年部门预算</w:t>
      </w:r>
    </w:p>
    <w:p w14:paraId="5C42AB12">
      <w:pPr>
        <w:jc w:val="center"/>
        <w:rPr>
          <w:rFonts w:ascii="黑体" w:hAnsi="黑体" w:eastAsia="黑体"/>
          <w:color w:val="auto"/>
          <w:sz w:val="44"/>
          <w:szCs w:val="44"/>
          <w:highlight w:val="none"/>
        </w:rPr>
      </w:pPr>
    </w:p>
    <w:p w14:paraId="5EF162CE">
      <w:pPr>
        <w:jc w:val="center"/>
        <w:rPr>
          <w:rFonts w:ascii="黑体" w:hAnsi="黑体" w:eastAsia="黑体"/>
          <w:color w:val="auto"/>
          <w:sz w:val="44"/>
          <w:szCs w:val="44"/>
          <w:highlight w:val="none"/>
        </w:rPr>
      </w:pPr>
    </w:p>
    <w:p w14:paraId="6D7738A2">
      <w:pPr>
        <w:jc w:val="center"/>
        <w:rPr>
          <w:rFonts w:ascii="黑体" w:hAnsi="黑体" w:eastAsia="黑体"/>
          <w:color w:val="auto"/>
          <w:sz w:val="44"/>
          <w:szCs w:val="44"/>
          <w:highlight w:val="none"/>
        </w:rPr>
      </w:pPr>
    </w:p>
    <w:p w14:paraId="1997C969">
      <w:pPr>
        <w:jc w:val="center"/>
        <w:rPr>
          <w:rFonts w:ascii="黑体" w:hAnsi="黑体" w:eastAsia="黑体"/>
          <w:color w:val="auto"/>
          <w:sz w:val="44"/>
          <w:szCs w:val="44"/>
          <w:highlight w:val="none"/>
        </w:rPr>
      </w:pPr>
    </w:p>
    <w:p w14:paraId="4F4ABFCB">
      <w:pPr>
        <w:jc w:val="center"/>
        <w:rPr>
          <w:rFonts w:ascii="黑体" w:hAnsi="黑体" w:eastAsia="黑体"/>
          <w:color w:val="auto"/>
          <w:sz w:val="44"/>
          <w:szCs w:val="44"/>
          <w:highlight w:val="none"/>
        </w:rPr>
      </w:pPr>
    </w:p>
    <w:p w14:paraId="6E03DA41">
      <w:pPr>
        <w:jc w:val="center"/>
        <w:rPr>
          <w:rFonts w:ascii="黑体" w:hAnsi="黑体" w:eastAsia="黑体"/>
          <w:color w:val="auto"/>
          <w:sz w:val="44"/>
          <w:szCs w:val="44"/>
          <w:highlight w:val="none"/>
        </w:rPr>
      </w:pPr>
    </w:p>
    <w:p w14:paraId="34D8D65D">
      <w:pPr>
        <w:jc w:val="center"/>
        <w:rPr>
          <w:rFonts w:ascii="黑体" w:hAnsi="黑体" w:eastAsia="黑体"/>
          <w:color w:val="auto"/>
          <w:sz w:val="44"/>
          <w:szCs w:val="44"/>
          <w:highlight w:val="none"/>
        </w:rPr>
      </w:pPr>
    </w:p>
    <w:p w14:paraId="01FD5D38">
      <w:pPr>
        <w:jc w:val="center"/>
        <w:rPr>
          <w:rFonts w:ascii="黑体" w:hAnsi="黑体" w:eastAsia="黑体"/>
          <w:color w:val="auto"/>
          <w:sz w:val="44"/>
          <w:szCs w:val="44"/>
          <w:highlight w:val="none"/>
        </w:rPr>
      </w:pPr>
    </w:p>
    <w:p w14:paraId="380AB34E">
      <w:pPr>
        <w:jc w:val="center"/>
        <w:rPr>
          <w:rFonts w:ascii="黑体" w:hAnsi="黑体" w:eastAsia="黑体"/>
          <w:color w:val="auto"/>
          <w:sz w:val="44"/>
          <w:szCs w:val="44"/>
          <w:highlight w:val="none"/>
        </w:rPr>
      </w:pPr>
    </w:p>
    <w:p w14:paraId="628D9189">
      <w:pPr>
        <w:jc w:val="center"/>
        <w:rPr>
          <w:rFonts w:ascii="黑体" w:hAnsi="黑体" w:eastAsia="黑体"/>
          <w:color w:val="auto"/>
          <w:sz w:val="44"/>
          <w:szCs w:val="44"/>
          <w:highlight w:val="none"/>
        </w:rPr>
      </w:pPr>
    </w:p>
    <w:p w14:paraId="6EA5914F">
      <w:pPr>
        <w:jc w:val="center"/>
        <w:rPr>
          <w:rFonts w:ascii="黑体" w:hAnsi="黑体" w:eastAsia="黑体"/>
          <w:color w:val="auto"/>
          <w:sz w:val="44"/>
          <w:szCs w:val="44"/>
          <w:highlight w:val="none"/>
        </w:rPr>
      </w:pPr>
      <w:r>
        <w:rPr>
          <w:rFonts w:hint="eastAsia" w:ascii="黑体" w:hAnsi="黑体" w:eastAsia="黑体"/>
          <w:color w:val="auto"/>
          <w:sz w:val="44"/>
          <w:szCs w:val="44"/>
          <w:highlight w:val="none"/>
        </w:rPr>
        <w:t>二〇二六年一月四日</w:t>
      </w:r>
    </w:p>
    <w:p w14:paraId="2F1615F9">
      <w:pPr>
        <w:jc w:val="center"/>
        <w:rPr>
          <w:rFonts w:ascii="黑体" w:hAnsi="黑体" w:eastAsia="黑体"/>
          <w:color w:val="auto"/>
          <w:sz w:val="44"/>
          <w:szCs w:val="44"/>
          <w:highlight w:val="none"/>
        </w:rPr>
      </w:pPr>
    </w:p>
    <w:p w14:paraId="357EC0AC">
      <w:pPr>
        <w:jc w:val="center"/>
        <w:rPr>
          <w:rFonts w:ascii="黑体" w:hAnsi="黑体" w:eastAsia="黑体"/>
          <w:color w:val="auto"/>
          <w:sz w:val="44"/>
          <w:szCs w:val="44"/>
          <w:highlight w:val="none"/>
        </w:rPr>
      </w:pPr>
    </w:p>
    <w:p w14:paraId="661A2997">
      <w:pPr>
        <w:jc w:val="center"/>
        <w:rPr>
          <w:rFonts w:ascii="黑体" w:hAnsi="黑体" w:eastAsia="黑体"/>
          <w:color w:val="auto"/>
          <w:sz w:val="44"/>
          <w:szCs w:val="44"/>
          <w:highlight w:val="none"/>
        </w:rPr>
      </w:pPr>
    </w:p>
    <w:p w14:paraId="60FA0F16">
      <w:pPr>
        <w:jc w:val="center"/>
        <w:rPr>
          <w:rFonts w:ascii="黑体" w:hAnsi="黑体" w:eastAsia="黑体"/>
          <w:color w:val="auto"/>
          <w:sz w:val="44"/>
          <w:szCs w:val="44"/>
          <w:highlight w:val="none"/>
        </w:rPr>
      </w:pPr>
    </w:p>
    <w:p w14:paraId="74A34429">
      <w:pPr>
        <w:jc w:val="center"/>
        <w:rPr>
          <w:rFonts w:ascii="黑体" w:hAnsi="黑体" w:eastAsia="黑体"/>
          <w:color w:val="auto"/>
          <w:sz w:val="44"/>
          <w:szCs w:val="44"/>
          <w:highlight w:val="none"/>
        </w:rPr>
      </w:pPr>
      <w:bookmarkStart w:id="0" w:name="_GoBack"/>
      <w:bookmarkEnd w:id="0"/>
    </w:p>
    <w:p w14:paraId="18C3CAAE">
      <w:pPr>
        <w:jc w:val="center"/>
        <w:rPr>
          <w:rFonts w:ascii="黑体" w:hAnsi="黑体" w:eastAsia="黑体"/>
          <w:color w:val="auto"/>
          <w:sz w:val="44"/>
          <w:szCs w:val="44"/>
          <w:highlight w:val="none"/>
        </w:rPr>
      </w:pPr>
    </w:p>
    <w:p w14:paraId="406F54B2">
      <w:pPr>
        <w:jc w:val="center"/>
        <w:rPr>
          <w:rFonts w:hint="eastAsia" w:ascii="黑体" w:hAnsi="黑体" w:eastAsia="黑体"/>
          <w:color w:val="auto"/>
          <w:sz w:val="44"/>
          <w:szCs w:val="44"/>
        </w:rPr>
      </w:pPr>
      <w:r>
        <w:rPr>
          <w:rFonts w:hint="eastAsia" w:ascii="黑体" w:hAnsi="黑体" w:eastAsia="黑体"/>
          <w:color w:val="auto"/>
          <w:sz w:val="44"/>
          <w:szCs w:val="44"/>
          <w:highlight w:val="none"/>
          <w:lang w:val="en-US" w:eastAsia="zh-CN"/>
        </w:rPr>
        <w:t>中共永吉县委组织部</w:t>
      </w:r>
      <w:r>
        <w:rPr>
          <w:rFonts w:hint="eastAsia" w:ascii="黑体" w:hAnsi="黑体" w:eastAsia="黑体"/>
          <w:color w:val="auto"/>
          <w:sz w:val="44"/>
          <w:szCs w:val="44"/>
          <w:highlight w:val="none"/>
        </w:rPr>
        <w:t>2026年</w:t>
      </w:r>
      <w:r>
        <w:rPr>
          <w:rFonts w:hint="eastAsia" w:ascii="黑体" w:hAnsi="黑体" w:eastAsia="黑体"/>
          <w:color w:val="auto"/>
          <w:sz w:val="44"/>
          <w:szCs w:val="44"/>
        </w:rPr>
        <w:t>预算</w:t>
      </w:r>
    </w:p>
    <w:p w14:paraId="1F07C9F7">
      <w:pPr>
        <w:jc w:val="center"/>
        <w:rPr>
          <w:rFonts w:ascii="黑体" w:hAnsi="黑体" w:eastAsia="黑体"/>
          <w:color w:val="auto"/>
          <w:sz w:val="44"/>
          <w:szCs w:val="44"/>
        </w:rPr>
      </w:pPr>
    </w:p>
    <w:p w14:paraId="63B0757E">
      <w:pPr>
        <w:tabs>
          <w:tab w:val="left" w:pos="3240"/>
        </w:tabs>
        <w:rPr>
          <w:rFonts w:ascii="黑体" w:hAnsi="黑体" w:eastAsia="黑体"/>
          <w:color w:val="auto"/>
          <w:sz w:val="44"/>
          <w:szCs w:val="44"/>
        </w:rPr>
      </w:pPr>
      <w:r>
        <w:rPr>
          <w:rFonts w:ascii="黑体" w:hAnsi="黑体" w:eastAsia="黑体"/>
          <w:color w:val="auto"/>
          <w:sz w:val="44"/>
          <w:szCs w:val="44"/>
        </w:rPr>
        <w:tab/>
      </w:r>
      <w:r>
        <w:rPr>
          <w:rFonts w:hint="eastAsia" w:ascii="黑体" w:hAnsi="黑体" w:eastAsia="黑体"/>
          <w:color w:val="auto"/>
          <w:sz w:val="44"/>
          <w:szCs w:val="44"/>
        </w:rPr>
        <w:t>目  录</w:t>
      </w:r>
    </w:p>
    <w:p w14:paraId="3BC81682">
      <w:pPr>
        <w:rPr>
          <w:rFonts w:ascii="仿宋" w:hAnsi="仿宋" w:eastAsia="仿宋"/>
          <w:color w:val="auto"/>
          <w:sz w:val="32"/>
          <w:szCs w:val="32"/>
        </w:rPr>
      </w:pPr>
      <w:r>
        <w:rPr>
          <w:rFonts w:hint="eastAsia" w:ascii="仿宋" w:hAnsi="仿宋" w:eastAsia="仿宋"/>
          <w:color w:val="auto"/>
          <w:sz w:val="32"/>
          <w:szCs w:val="32"/>
        </w:rPr>
        <w:t>第一部分  部门概况</w:t>
      </w:r>
    </w:p>
    <w:p w14:paraId="73DDC628">
      <w:pPr>
        <w:pStyle w:val="8"/>
        <w:numPr>
          <w:ilvl w:val="0"/>
          <w:numId w:val="1"/>
        </w:numPr>
        <w:ind w:firstLineChars="0"/>
        <w:rPr>
          <w:rFonts w:ascii="仿宋" w:hAnsi="仿宋" w:eastAsia="仿宋"/>
          <w:color w:val="auto"/>
          <w:sz w:val="32"/>
          <w:szCs w:val="32"/>
        </w:rPr>
      </w:pPr>
      <w:r>
        <w:rPr>
          <w:rFonts w:hint="eastAsia" w:ascii="仿宋" w:hAnsi="仿宋" w:eastAsia="仿宋"/>
          <w:color w:val="auto"/>
          <w:sz w:val="32"/>
          <w:szCs w:val="32"/>
        </w:rPr>
        <w:t>主要职能</w:t>
      </w:r>
    </w:p>
    <w:p w14:paraId="0F6E16B9">
      <w:pPr>
        <w:pStyle w:val="8"/>
        <w:numPr>
          <w:ilvl w:val="0"/>
          <w:numId w:val="1"/>
        </w:numPr>
        <w:ind w:firstLineChars="0"/>
        <w:rPr>
          <w:rFonts w:ascii="仿宋" w:hAnsi="仿宋" w:eastAsia="仿宋"/>
          <w:color w:val="auto"/>
          <w:sz w:val="32"/>
          <w:szCs w:val="32"/>
        </w:rPr>
      </w:pPr>
      <w:r>
        <w:rPr>
          <w:rFonts w:hint="eastAsia" w:ascii="仿宋" w:hAnsi="仿宋" w:eastAsia="仿宋"/>
          <w:color w:val="auto"/>
          <w:sz w:val="32"/>
          <w:szCs w:val="32"/>
        </w:rPr>
        <w:t>机构设置</w:t>
      </w:r>
    </w:p>
    <w:p w14:paraId="5EE08171">
      <w:pPr>
        <w:rPr>
          <w:rFonts w:ascii="仿宋" w:hAnsi="仿宋" w:eastAsia="仿宋"/>
          <w:color w:val="auto"/>
          <w:sz w:val="32"/>
          <w:szCs w:val="32"/>
        </w:rPr>
      </w:pPr>
      <w:r>
        <w:rPr>
          <w:rFonts w:hint="eastAsia" w:ascii="仿宋" w:hAnsi="仿宋" w:eastAsia="仿宋"/>
          <w:color w:val="auto"/>
          <w:sz w:val="32"/>
          <w:szCs w:val="32"/>
        </w:rPr>
        <w:t>第二部分  情况说明</w:t>
      </w:r>
    </w:p>
    <w:p w14:paraId="6F11FF87">
      <w:pPr>
        <w:rPr>
          <w:rFonts w:ascii="仿宋" w:hAnsi="仿宋" w:eastAsia="仿宋"/>
          <w:color w:val="auto"/>
          <w:sz w:val="32"/>
          <w:szCs w:val="32"/>
        </w:rPr>
      </w:pPr>
      <w:r>
        <w:rPr>
          <w:rFonts w:hint="eastAsia" w:ascii="仿宋" w:hAnsi="仿宋" w:eastAsia="仿宋"/>
          <w:color w:val="auto"/>
          <w:sz w:val="32"/>
          <w:szCs w:val="32"/>
        </w:rPr>
        <w:t xml:space="preserve">第三部分  名词解释 </w:t>
      </w:r>
    </w:p>
    <w:p w14:paraId="7BA36606">
      <w:pPr>
        <w:rPr>
          <w:rFonts w:ascii="仿宋" w:hAnsi="仿宋" w:eastAsia="仿宋"/>
          <w:color w:val="auto"/>
          <w:sz w:val="32"/>
          <w:szCs w:val="32"/>
        </w:rPr>
      </w:pPr>
      <w:r>
        <w:rPr>
          <w:rFonts w:hint="eastAsia" w:ascii="仿宋" w:hAnsi="仿宋" w:eastAsia="仿宋"/>
          <w:color w:val="auto"/>
          <w:sz w:val="32"/>
          <w:szCs w:val="32"/>
        </w:rPr>
        <w:t>第四部分  预算表格</w:t>
      </w:r>
    </w:p>
    <w:p w14:paraId="07E4B539">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收支总表</w:t>
      </w:r>
    </w:p>
    <w:p w14:paraId="257AF41A">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收入总表</w:t>
      </w:r>
    </w:p>
    <w:p w14:paraId="490A2BEB">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支出总表</w:t>
      </w:r>
    </w:p>
    <w:p w14:paraId="5F6425A5">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财政拨款收支总表</w:t>
      </w:r>
    </w:p>
    <w:p w14:paraId="5006371A">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一般公共预算支出表</w:t>
      </w:r>
    </w:p>
    <w:p w14:paraId="6CBA4F02">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一般公共预算财政拨款基本支出预算表</w:t>
      </w:r>
    </w:p>
    <w:p w14:paraId="534C5B24">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一般公共预算“三公”经费支出表</w:t>
      </w:r>
    </w:p>
    <w:p w14:paraId="4685FD46">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政府性基金预算支出表</w:t>
      </w:r>
    </w:p>
    <w:p w14:paraId="696DB8AF">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国有资本经营预算支出表</w:t>
      </w:r>
    </w:p>
    <w:p w14:paraId="2C937F03">
      <w:pPr>
        <w:pStyle w:val="8"/>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项目支出表</w:t>
      </w:r>
    </w:p>
    <w:p w14:paraId="3CED8429">
      <w:pPr>
        <w:rPr>
          <w:rFonts w:ascii="仿宋" w:hAnsi="仿宋" w:eastAsia="仿宋"/>
          <w:color w:val="auto"/>
          <w:sz w:val="32"/>
          <w:szCs w:val="32"/>
        </w:rPr>
      </w:pPr>
    </w:p>
    <w:p w14:paraId="69BD7CEA">
      <w:pPr>
        <w:rPr>
          <w:rFonts w:ascii="仿宋" w:hAnsi="仿宋" w:eastAsia="仿宋"/>
          <w:color w:val="auto"/>
          <w:sz w:val="32"/>
          <w:szCs w:val="32"/>
        </w:rPr>
      </w:pPr>
    </w:p>
    <w:p w14:paraId="549DAA5E">
      <w:pPr>
        <w:rPr>
          <w:rFonts w:ascii="仿宋" w:hAnsi="仿宋" w:eastAsia="仿宋"/>
          <w:color w:val="auto"/>
          <w:sz w:val="32"/>
          <w:szCs w:val="32"/>
        </w:rPr>
      </w:pPr>
    </w:p>
    <w:p w14:paraId="4E48F873">
      <w:pPr>
        <w:jc w:val="center"/>
        <w:rPr>
          <w:rFonts w:ascii="黑体" w:hAnsi="黑体" w:eastAsia="黑体"/>
          <w:color w:val="auto"/>
          <w:sz w:val="32"/>
          <w:szCs w:val="32"/>
        </w:rPr>
      </w:pPr>
      <w:r>
        <w:rPr>
          <w:rFonts w:hint="eastAsia" w:ascii="黑体" w:hAnsi="黑体" w:eastAsia="黑体"/>
          <w:color w:val="auto"/>
          <w:sz w:val="32"/>
          <w:szCs w:val="32"/>
        </w:rPr>
        <w:t>第一部分    部门（单位）概况</w:t>
      </w:r>
    </w:p>
    <w:p w14:paraId="519B9A34">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66AD7C00">
      <w:pPr>
        <w:jc w:val="left"/>
        <w:rPr>
          <w:rFonts w:ascii="仿宋" w:hAnsi="仿宋" w:eastAsia="仿宋"/>
          <w:color w:val="auto"/>
          <w:sz w:val="32"/>
          <w:szCs w:val="32"/>
        </w:rPr>
      </w:pPr>
      <w:r>
        <w:rPr>
          <w:rFonts w:hint="eastAsia" w:ascii="仿宋" w:hAnsi="仿宋" w:eastAsia="仿宋"/>
          <w:color w:val="auto"/>
          <w:sz w:val="32"/>
          <w:szCs w:val="32"/>
        </w:rPr>
        <w:t xml:space="preserve"> 一、主要职能</w:t>
      </w:r>
    </w:p>
    <w:p w14:paraId="2F030B5B">
      <w:pPr>
        <w:pStyle w:val="10"/>
        <w:widowControl/>
        <w:spacing w:line="620" w:lineRule="exact"/>
        <w:ind w:firstLine="627" w:firstLineChars="196"/>
        <w:contextualSpacing/>
        <w:rPr>
          <w:rFonts w:hint="default" w:ascii="仿宋" w:hAnsi="仿宋" w:eastAsia="仿宋"/>
          <w:bCs/>
          <w:color w:val="auto"/>
          <w:sz w:val="32"/>
          <w:szCs w:val="32"/>
          <w:lang w:val="en-US" w:eastAsia="zh-CN"/>
        </w:rPr>
      </w:pPr>
      <w:r>
        <w:rPr>
          <w:rFonts w:hint="eastAsia" w:ascii="仿宋" w:hAnsi="仿宋" w:eastAsia="仿宋"/>
          <w:bCs/>
          <w:color w:val="auto"/>
          <w:sz w:val="32"/>
          <w:szCs w:val="32"/>
        </w:rPr>
        <w:t>单位</w:t>
      </w:r>
      <w:r>
        <w:rPr>
          <w:rFonts w:hint="eastAsia" w:ascii="仿宋" w:hAnsi="仿宋" w:eastAsia="仿宋"/>
          <w:bCs/>
          <w:color w:val="auto"/>
          <w:kern w:val="0"/>
          <w:sz w:val="32"/>
          <w:szCs w:val="32"/>
        </w:rPr>
        <w:t>名称：</w:t>
      </w:r>
      <w:r>
        <w:rPr>
          <w:rFonts w:hint="eastAsia" w:ascii="仿宋" w:hAnsi="仿宋" w:eastAsia="仿宋"/>
          <w:bCs/>
          <w:color w:val="auto"/>
          <w:kern w:val="0"/>
          <w:sz w:val="32"/>
          <w:szCs w:val="32"/>
          <w:lang w:val="en-US" w:eastAsia="zh-CN"/>
        </w:rPr>
        <w:t>中共永吉县委组织部</w:t>
      </w:r>
    </w:p>
    <w:p w14:paraId="09235EBC">
      <w:pPr>
        <w:pStyle w:val="10"/>
        <w:widowControl/>
        <w:spacing w:line="620" w:lineRule="exact"/>
        <w:ind w:firstLine="627" w:firstLineChars="196"/>
        <w:contextualSpacing/>
        <w:rPr>
          <w:rFonts w:hint="default" w:ascii="仿宋" w:hAnsi="仿宋" w:eastAsia="仿宋"/>
          <w:color w:val="auto"/>
          <w:kern w:val="0"/>
          <w:sz w:val="32"/>
          <w:szCs w:val="32"/>
          <w:lang w:val="en-US" w:eastAsia="zh-CN"/>
        </w:rPr>
      </w:pPr>
      <w:r>
        <w:rPr>
          <w:rFonts w:hint="eastAsia" w:ascii="仿宋" w:hAnsi="仿宋" w:eastAsia="仿宋"/>
          <w:bCs/>
          <w:color w:val="auto"/>
          <w:kern w:val="0"/>
          <w:sz w:val="32"/>
          <w:szCs w:val="32"/>
        </w:rPr>
        <w:t>单位性质</w:t>
      </w:r>
      <w:r>
        <w:rPr>
          <w:rFonts w:hint="eastAsia" w:ascii="仿宋" w:hAnsi="仿宋" w:eastAsia="仿宋"/>
          <w:color w:val="auto"/>
          <w:kern w:val="0"/>
          <w:sz w:val="32"/>
          <w:szCs w:val="32"/>
        </w:rPr>
        <w:t>：</w:t>
      </w:r>
      <w:r>
        <w:rPr>
          <w:rFonts w:hint="eastAsia" w:ascii="仿宋" w:hAnsi="仿宋" w:eastAsia="仿宋"/>
          <w:color w:val="auto"/>
          <w:kern w:val="0"/>
          <w:sz w:val="32"/>
          <w:szCs w:val="32"/>
          <w:lang w:val="en-US" w:eastAsia="zh-CN"/>
        </w:rPr>
        <w:t>行政单位</w:t>
      </w:r>
    </w:p>
    <w:p w14:paraId="45108908">
      <w:pPr>
        <w:pStyle w:val="10"/>
        <w:widowControl/>
        <w:numPr>
          <w:ilvl w:val="0"/>
          <w:numId w:val="0"/>
        </w:numPr>
        <w:spacing w:line="620" w:lineRule="exact"/>
        <w:ind w:firstLine="640" w:firstLineChars="200"/>
        <w:contextualSpacing/>
        <w:rPr>
          <w:rFonts w:hint="eastAsia" w:ascii="仿宋" w:hAnsi="仿宋" w:eastAsia="仿宋"/>
          <w:bCs/>
          <w:color w:val="auto"/>
          <w:kern w:val="0"/>
          <w:sz w:val="32"/>
          <w:szCs w:val="32"/>
        </w:rPr>
      </w:pPr>
      <w:r>
        <w:rPr>
          <w:rFonts w:hint="eastAsia" w:ascii="仿宋" w:hAnsi="仿宋" w:eastAsia="仿宋"/>
          <w:bCs/>
          <w:color w:val="auto"/>
          <w:kern w:val="0"/>
          <w:sz w:val="32"/>
          <w:szCs w:val="32"/>
        </w:rPr>
        <w:t>主要职能：</w:t>
      </w:r>
    </w:p>
    <w:p w14:paraId="3362BB44">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lang w:eastAsia="zh-CN"/>
        </w:rPr>
        <w:t>（</w:t>
      </w:r>
      <w:r>
        <w:rPr>
          <w:rFonts w:hint="default" w:ascii="Times New Roman" w:hAnsi="Times New Roman" w:eastAsia="仿宋_GB2312" w:cs="Times New Roman"/>
          <w:color w:val="auto"/>
          <w:sz w:val="34"/>
          <w:szCs w:val="34"/>
          <w:highlight w:val="none"/>
          <w:lang w:val="en-US" w:eastAsia="zh-CN"/>
        </w:rPr>
        <w:t>一</w:t>
      </w:r>
      <w:r>
        <w:rPr>
          <w:rFonts w:hint="default" w:ascii="Times New Roman" w:hAnsi="Times New Roman" w:eastAsia="仿宋_GB2312" w:cs="Times New Roman"/>
          <w:color w:val="auto"/>
          <w:sz w:val="34"/>
          <w:szCs w:val="34"/>
          <w:highlight w:val="none"/>
          <w:lang w:eastAsia="zh-CN"/>
        </w:rPr>
        <w:t>）</w:t>
      </w:r>
      <w:r>
        <w:rPr>
          <w:rFonts w:hint="default" w:ascii="Times New Roman" w:hAnsi="Times New Roman" w:eastAsia="仿宋_GB2312" w:cs="Times New Roman"/>
          <w:color w:val="auto"/>
          <w:sz w:val="34"/>
          <w:szCs w:val="34"/>
          <w:highlight w:val="none"/>
        </w:rPr>
        <w:t>负责全面贯彻执行党的组织工作路线、方针、政策，研究和指导全县党组织的建设；负责研究制定全县党组织建设长远规划和年度计划；负责规划、协调和指导党员教育、管理和发展工作；负责检查指导全县农村、社区、机关、非公有制企业和社区组织等基层党组织建设工作。</w:t>
      </w:r>
    </w:p>
    <w:p w14:paraId="7BDDD1CC">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lang w:eastAsia="zh-CN"/>
        </w:rPr>
        <w:t>（</w:t>
      </w:r>
      <w:r>
        <w:rPr>
          <w:rFonts w:hint="default" w:ascii="Times New Roman" w:hAnsi="Times New Roman" w:eastAsia="仿宋_GB2312" w:cs="Times New Roman"/>
          <w:color w:val="auto"/>
          <w:sz w:val="34"/>
          <w:szCs w:val="34"/>
          <w:highlight w:val="none"/>
          <w:lang w:val="en-US" w:eastAsia="zh-CN"/>
        </w:rPr>
        <w:t>二</w:t>
      </w:r>
      <w:r>
        <w:rPr>
          <w:rFonts w:hint="default" w:ascii="Times New Roman" w:hAnsi="Times New Roman" w:eastAsia="仿宋_GB2312" w:cs="Times New Roman"/>
          <w:color w:val="auto"/>
          <w:sz w:val="34"/>
          <w:szCs w:val="34"/>
          <w:highlight w:val="none"/>
          <w:lang w:eastAsia="zh-CN"/>
        </w:rPr>
        <w:t>）</w:t>
      </w:r>
      <w:r>
        <w:rPr>
          <w:rFonts w:hint="default" w:ascii="Times New Roman" w:hAnsi="Times New Roman" w:eastAsia="仿宋_GB2312" w:cs="Times New Roman"/>
          <w:color w:val="auto"/>
          <w:sz w:val="34"/>
          <w:szCs w:val="34"/>
          <w:highlight w:val="none"/>
        </w:rPr>
        <w:t>负责对县委管理及县委委托管理的领导班子和领导干部进行考核，并提出调整、配备的意见和建议；负责研究制定干部队伍建设的总体规划，落实培养选拔年轻干部和党外干部工作；负责主任科员、副主任科员的审批和管理；负责办理县委管理及县委委托管理干部的任免、工资、待遇、离（退）休手续；承办部分干部的调配、交流及安置事宜。</w:t>
      </w:r>
    </w:p>
    <w:p w14:paraId="461CEF04">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（三）负责研究和指导党的组织制度和干部人事制度改革；制定全县组织和干部人事工作的有关政策和制度，并组织实施和落实；负责对领导干部的监督和对领导干部选拔任用工作的监督。</w:t>
      </w:r>
    </w:p>
    <w:p w14:paraId="6989C72F">
      <w:pPr>
        <w:pStyle w:val="10"/>
        <w:widowControl/>
        <w:numPr>
          <w:ilvl w:val="0"/>
          <w:numId w:val="0"/>
        </w:numPr>
        <w:spacing w:line="620" w:lineRule="exact"/>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lang w:eastAsia="zh-CN"/>
        </w:rPr>
        <w:t xml:space="preserve">    </w:t>
      </w:r>
      <w:r>
        <w:rPr>
          <w:rFonts w:hint="default" w:ascii="Times New Roman" w:hAnsi="Times New Roman" w:eastAsia="仿宋_GB2312" w:cs="Times New Roman"/>
          <w:color w:val="auto"/>
          <w:sz w:val="34"/>
          <w:szCs w:val="34"/>
          <w:highlight w:val="none"/>
        </w:rPr>
        <w:t>（四）负责干部教育工作，研究制定全县干部教育工作总体规划和有关政策；组织县委管理的领导干部及其后备干部、党员高级知识分子和党群机关工作人员的培训；指导、协调、检查全县干部教育工作。</w:t>
      </w:r>
    </w:p>
    <w:p w14:paraId="788FA248">
      <w:pPr>
        <w:pStyle w:val="10"/>
        <w:widowControl/>
        <w:numPr>
          <w:ilvl w:val="0"/>
          <w:numId w:val="0"/>
        </w:numPr>
        <w:spacing w:line="620" w:lineRule="exact"/>
        <w:ind w:firstLine="68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五）负责行政机关公务员的教育、管理、培训、考核工作；贯彻执行参照公务员法管理的事业单位工作人员管理办法和聘任制公务员管理办法，并组织实施和监督检查；负责公务员登记、初审、申报工作；会同有关部门组织落实国家荣誉制度，负责全县政府奖励表彰综合管理工作。</w:t>
      </w:r>
    </w:p>
    <w:p w14:paraId="3E5DEF11">
      <w:pPr>
        <w:pStyle w:val="10"/>
        <w:widowControl/>
        <w:numPr>
          <w:ilvl w:val="0"/>
          <w:numId w:val="0"/>
        </w:numPr>
        <w:spacing w:line="620" w:lineRule="exact"/>
        <w:ind w:firstLine="68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（六）负责全县人才队伍管理指导工作，指导全县开展人才引进、培养及人才队伍发挥作用的相关工作；组织制定有关人才管理相关政策，检查人才相关政策贯彻执行情况。</w:t>
      </w:r>
    </w:p>
    <w:p w14:paraId="05A9AFEB">
      <w:pPr>
        <w:pStyle w:val="10"/>
        <w:widowControl/>
        <w:numPr>
          <w:ilvl w:val="0"/>
          <w:numId w:val="0"/>
        </w:numPr>
        <w:spacing w:line="620" w:lineRule="exact"/>
        <w:ind w:firstLine="68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（七）负责制定党员教育规划；负责党员的管理，指导发展党员工作；承担党费收缴、使用、管理工作；办理党员出国有关审批手续。</w:t>
      </w:r>
    </w:p>
    <w:p w14:paraId="06F686ED">
      <w:pPr>
        <w:pStyle w:val="10"/>
        <w:widowControl/>
        <w:numPr>
          <w:ilvl w:val="0"/>
          <w:numId w:val="0"/>
        </w:numPr>
        <w:spacing w:line="620" w:lineRule="exact"/>
        <w:ind w:firstLine="68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八）负责全县党员、干部统计和全县干部档案管理工作，代县委管理干部档案室；负责全县党员干部现代远程教育工作，代县委管理县党员干部现代远程教育中心。负责全县党史资料收集整理，并编撰党史文献资料，代县委管理党史研究室。</w:t>
      </w:r>
    </w:p>
    <w:p w14:paraId="288B94FE">
      <w:pPr>
        <w:pStyle w:val="10"/>
        <w:widowControl/>
        <w:numPr>
          <w:ilvl w:val="0"/>
          <w:numId w:val="0"/>
        </w:numPr>
        <w:spacing w:line="620" w:lineRule="exact"/>
        <w:ind w:firstLine="68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九）贯彻落实中央关于老干部工作的方针政策和县委老干部工作的各项决定和指示，研究拟定全县老干部工作的具体政策、规定、制度和办法。规划指导离退休干部党支部建设。规划指导加强离退休干部思想政治建设。检查、指导全县老干部工作，总结、推广经验，开展调研、宣传。向县委反应老干部工作的情况和问题，提出意见、建议。指导、检查全县离休干部政治待遇、生活待遇的落实情况，协调、承办离休干部提高待遇、易地安治等审批事宜。了解掌握易地安置、异地居住离休干部的情况，协调解决实际困难。联系县直干部病房，研究确定离休干部特诊、优诊范围，配合有关部门监督、指导离休干部医疗服务工作。协调、组织离休干部和一定层次退休干部健康修养、住院探望、丧事办理的有关工作。检查、指导老干部活动中心、老干部（老年）大学工作，组织指导重大活动的开展和服务。宏观管理县直乡科级退休干部。</w:t>
      </w:r>
    </w:p>
    <w:p w14:paraId="17E2FA47">
      <w:pPr>
        <w:pStyle w:val="10"/>
        <w:widowControl/>
        <w:numPr>
          <w:ilvl w:val="0"/>
          <w:numId w:val="0"/>
        </w:numPr>
        <w:spacing w:line="620" w:lineRule="exact"/>
        <w:ind w:firstLine="680"/>
        <w:contextualSpacing/>
        <w:rPr>
          <w:rFonts w:ascii="仿宋" w:hAnsi="仿宋" w:eastAsia="仿宋"/>
          <w:bCs/>
          <w:color w:val="auto"/>
          <w:kern w:val="0"/>
          <w:sz w:val="32"/>
          <w:szCs w:val="32"/>
        </w:rPr>
      </w:pPr>
      <w:r>
        <w:rPr>
          <w:rFonts w:hint="default" w:ascii="Times New Roman" w:hAnsi="Times New Roman" w:eastAsia="仿宋_GB2312" w:cs="Times New Roman"/>
          <w:color w:val="auto"/>
          <w:sz w:val="34"/>
          <w:szCs w:val="34"/>
          <w:highlight w:val="none"/>
        </w:rPr>
        <w:t>（十）负责统筹协调推进全县党建引领城乡基层治理工作，研究制定党建引领城乡基层治理制度创新和能力建设的有关政策措施、规划计划及责任分工方案等;指导调度督促党建引领城乡基层治理工作，及时向县委城乡基层治理工作委员会报告，提供决策参考;负责沟通协调联系，推进重点工作任务落实;做好经验做法的总结推广和先进典型的选树宣传。</w:t>
      </w:r>
    </w:p>
    <w:p w14:paraId="17A79A7A">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主要业务：</w:t>
      </w:r>
    </w:p>
    <w:p w14:paraId="471B1AD6">
      <w:pPr>
        <w:pStyle w:val="10"/>
        <w:widowControl/>
        <w:numPr>
          <w:ilvl w:val="0"/>
          <w:numId w:val="3"/>
        </w:numPr>
        <w:spacing w:line="620" w:lineRule="exact"/>
        <w:ind w:left="-50" w:leftChars="0" w:firstLine="680" w:firstLineChars="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干部科。负责对县委管理及县委委托管理的领导班子和领导干部进行考核，并提出调整、配备的意见和建议；负责研究制定干部队伍建设的总体规划，落实培养选拔年轻干部和党外干部工作；负责主任科员、副主任科员的审批和管理；负责办理县委管理及县委委托管理干部的任免、工资、待遇、离（退）休手续；承办部分干部的调配、交流及安置事宜。负责干部教育工作，研究制定全县干部教育工作总体规划和有关政策；组织县委管理的领导干部及其后备干部、党员高级知识分子和党群机关工作人员的培训；指导、协调、检查全县干部教育工作。</w:t>
      </w:r>
    </w:p>
    <w:p w14:paraId="5700E857">
      <w:pPr>
        <w:pStyle w:val="10"/>
        <w:widowControl/>
        <w:numPr>
          <w:ilvl w:val="0"/>
          <w:numId w:val="3"/>
        </w:numPr>
        <w:spacing w:line="620" w:lineRule="exact"/>
        <w:ind w:left="-50" w:leftChars="0" w:firstLine="680" w:firstLineChars="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干部监督室。负责综合、协调和宏观指导全县干部监督工作；检查指导乡局级领导班子监督机制的构建和贯彻执行情况；参与对拟提拔为乡局级领导干部人选的考察工作；负责收集整理全县乡局级领导干部的各种信息并承办县领导和部领导指示的反映领导干部重要问题的信件；对县乡（局）两级班子贯彻落实领导干部任免及组织人事纪律的执行情况进行监督检查；参与制定干部选 任和管理的各项措施制度，并监督检查贯彻落实情况；审理县委管理的干部和其他有关干部的党籍、党龄、参加工作时间、出生日期以及其他历史遗留问题；负责乡局级以上领导干部出国政审工作；负责制定乡局级领导班子开好民主生活会的领导、组织制度，审查民主生活会的主题，组织派人参加指导评价，并督促整改措施的落实。</w:t>
      </w:r>
    </w:p>
    <w:p w14:paraId="7DB60D2E">
      <w:pPr>
        <w:pStyle w:val="10"/>
        <w:widowControl/>
        <w:numPr>
          <w:ilvl w:val="0"/>
          <w:numId w:val="3"/>
        </w:numPr>
        <w:spacing w:line="620" w:lineRule="exact"/>
        <w:ind w:left="-50" w:leftChars="0" w:firstLine="680" w:firstLineChars="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公务员管理科。负责行政机关公务员的教育、管理、培训、考核工作；贯彻执行参照公务员法管理的事业单位工作人员管理办法和聘任制公务员管理办法，并组织实施和监督检</w:t>
      </w:r>
      <w:r>
        <w:rPr>
          <w:rFonts w:hint="default" w:ascii="Times New Roman" w:hAnsi="Times New Roman" w:eastAsia="仿宋_GB2312" w:cs="Times New Roman"/>
          <w:color w:val="auto"/>
          <w:sz w:val="34"/>
          <w:szCs w:val="34"/>
        </w:rPr>
        <w:t>查；负责公务员登记、初审、申报工作；会同有关部门组织落实国家荣誉制度，负责全县政府奖励表彰综合管理工作。</w:t>
      </w:r>
    </w:p>
    <w:p w14:paraId="10B97547">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lang w:eastAsia="zh-CN"/>
        </w:rPr>
        <w:t>（</w:t>
      </w:r>
      <w:r>
        <w:rPr>
          <w:rFonts w:hint="default" w:ascii="Times New Roman" w:hAnsi="Times New Roman" w:eastAsia="仿宋_GB2312" w:cs="Times New Roman"/>
          <w:color w:val="auto"/>
          <w:sz w:val="34"/>
          <w:szCs w:val="34"/>
          <w:lang w:val="en-US" w:eastAsia="zh-CN"/>
        </w:rPr>
        <w:t>四</w:t>
      </w:r>
      <w:r>
        <w:rPr>
          <w:rFonts w:hint="default" w:ascii="Times New Roman" w:hAnsi="Times New Roman" w:eastAsia="仿宋_GB2312" w:cs="Times New Roman"/>
          <w:color w:val="auto"/>
          <w:sz w:val="34"/>
          <w:szCs w:val="34"/>
          <w:lang w:eastAsia="zh-CN"/>
        </w:rPr>
        <w:t>）</w:t>
      </w:r>
      <w:r>
        <w:rPr>
          <w:rFonts w:hint="default" w:ascii="Times New Roman" w:hAnsi="Times New Roman" w:eastAsia="仿宋_GB2312" w:cs="Times New Roman"/>
          <w:color w:val="auto"/>
          <w:sz w:val="34"/>
          <w:szCs w:val="34"/>
        </w:rPr>
        <w:t>组织科。</w:t>
      </w:r>
      <w:r>
        <w:rPr>
          <w:rFonts w:hint="eastAsia" w:eastAsia="仿宋_GB2312" w:cs="Times New Roman"/>
          <w:color w:val="auto"/>
          <w:sz w:val="34"/>
          <w:szCs w:val="34"/>
          <w:lang w:val="en-US" w:eastAsia="zh-CN"/>
        </w:rPr>
        <w:t>负责全县党的基层组织建设工作的政策研究和宏观指导，指导落实基层党建工作责任制，组织协调各方面力量共同抓好基层党的建设工作。负责全县党代会以及出席上级党代会代表的人选酝酿、选举和大会的具体组织工作。负责研究制定全县农村基层组织建设规划，统筹抓好农村基层组织建设任务落实，加强宏观指导和督促检查。做好农村基层干部教育培训。指导加强乡镇党委班子和村党组织班子建设，做好农村基层干部教育培训。指导各乡镇总结推广农村基层组织建设成功经验。负责全县乡镇机关选调生相关工作指导。负责组织各基层党组织的换届选举工作。总结、表彰、推广基层党组织建设的典型，不断探索新时期基层组织建设的新思路。负责组织考核各基层党委的年度组织工作完成情况</w:t>
      </w:r>
      <w:r>
        <w:rPr>
          <w:rFonts w:hint="default" w:ascii="Times New Roman" w:hAnsi="Times New Roman" w:eastAsia="仿宋_GB2312" w:cs="Times New Roman"/>
          <w:color w:val="auto"/>
          <w:sz w:val="34"/>
          <w:szCs w:val="34"/>
        </w:rPr>
        <w:t>。</w:t>
      </w:r>
    </w:p>
    <w:p w14:paraId="2F7C4728">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rPr>
        <w:t>（五）</w:t>
      </w:r>
      <w:r>
        <w:rPr>
          <w:rFonts w:hint="eastAsia" w:eastAsia="仿宋_GB2312" w:cs="Times New Roman"/>
          <w:color w:val="auto"/>
          <w:sz w:val="34"/>
          <w:szCs w:val="34"/>
          <w:lang w:val="en-US" w:eastAsia="zh-CN"/>
        </w:rPr>
        <w:t>基层党建指导科。负责全县城市社区、国有企业、机关、学校和其他事业单位、非公有制经济组织、社会组织等领域基层党建工作的宏观指导。统筹推动各乡镇（区）、各相关部门加强城市领域基层党组织建设和党务干部队伍建设。负责全县城市领域基层党建的政策研究，组织和参与有关工作调查、经验总结、理论研究，组织和参与起草有关政策性文件和法规</w:t>
      </w:r>
      <w:r>
        <w:rPr>
          <w:rFonts w:hint="default" w:ascii="Times New Roman" w:hAnsi="Times New Roman" w:eastAsia="仿宋_GB2312" w:cs="Times New Roman"/>
          <w:color w:val="auto"/>
          <w:sz w:val="34"/>
          <w:szCs w:val="34"/>
        </w:rPr>
        <w:t>。</w:t>
      </w:r>
    </w:p>
    <w:p w14:paraId="74BCCE65">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rPr>
        <w:t>（六）县委组织员办公室。负责指导和制定党员教育规划；负责党员的教育管理，指导发展党员工作；承担党费收缴、使用、管理工作；负责党内统计及积极分子队伍建设工作；负责党员组织关系的转接和一般党员出国的政审。</w:t>
      </w:r>
    </w:p>
    <w:p w14:paraId="244D3A99">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rPr>
        <w:t>（七）永吉县人才工作领导小组办公室。负责全县人才队伍管理指导工作，了解掌握全县人才引进、培养及人才作用发挥工作总体情况；组织制定有关人才管理相关政策，检查人才相关政策贯彻执行情况。</w:t>
      </w:r>
    </w:p>
    <w:p w14:paraId="1D6444DE">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rPr>
        <w:t>（八）调研电教科。负责协调全县及部内各业务科室开展组织工作的业务调研和上报组织工作信息；负责抓好党员电化教育工作；承担组织工作新闻宣传和党刊征订发行工作。</w:t>
      </w:r>
    </w:p>
    <w:p w14:paraId="7FBD592C">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rPr>
        <w:t>（九）综合科。负责部机关文电处理、保密、人事劳资、后勤保障、部内各科室协调沟通等工作。</w:t>
      </w:r>
    </w:p>
    <w:p w14:paraId="0CBE3923">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rPr>
        <w:t>（十）老干部科。研究拟定全县老干部工作的具体政策、规定、制度和办法。指导、检查全县离休干部政治待遇、生活待遇的落实情况，协调解决实际困难。协调、组织离休干部和一定层次退休干部健康修养、住院探望、丧事办理的有关工作。检查、指导老干部活动中心、老干部（老年）大学工作，组织指导重大活动的开展和服务。</w:t>
      </w:r>
    </w:p>
    <w:p w14:paraId="5688517F">
      <w:pPr>
        <w:pStyle w:val="10"/>
        <w:widowControl/>
        <w:numPr>
          <w:ilvl w:val="0"/>
          <w:numId w:val="0"/>
        </w:numPr>
        <w:spacing w:line="620" w:lineRule="exact"/>
        <w:ind w:firstLine="680" w:firstLineChars="200"/>
        <w:contextualSpacing/>
        <w:rPr>
          <w:rFonts w:ascii="仿宋" w:hAnsi="仿宋" w:eastAsia="仿宋"/>
          <w:color w:val="auto"/>
          <w:kern w:val="0"/>
          <w:sz w:val="32"/>
          <w:szCs w:val="32"/>
        </w:rPr>
      </w:pPr>
      <w:r>
        <w:rPr>
          <w:rFonts w:hint="default" w:ascii="Times New Roman" w:hAnsi="Times New Roman" w:eastAsia="仿宋_GB2312" w:cs="Times New Roman"/>
          <w:color w:val="auto"/>
          <w:sz w:val="34"/>
          <w:szCs w:val="34"/>
        </w:rPr>
        <w:t>（十一）</w:t>
      </w:r>
      <w:r>
        <w:rPr>
          <w:rFonts w:hint="eastAsia" w:eastAsia="仿宋_GB2312" w:cs="Times New Roman"/>
          <w:color w:val="auto"/>
          <w:sz w:val="34"/>
          <w:szCs w:val="34"/>
          <w:lang w:val="en-US" w:eastAsia="zh-CN"/>
        </w:rPr>
        <w:t>综合考核科。负责全县高质量发展政绩考核工作的统筹协调、宏观指导，会同有关单位建立健全相关制度措施，组织协调有关单位对考核工作进展情况实施监测、督查、评估，协调有关单位形成高质量发展综合绩效评价指数及评价报告，推动用好考核结果。负责全县干部考核评价工作的政策研究和宏观指导，组织开展考核评价办法、指标等调查研究。指导落实干部考核条例及有关党内政策法规，组织做好相关培训工作。加强干部考核人员队伍建设，组织开展考核方式方法创新研究和经验总结交流。</w:t>
      </w:r>
    </w:p>
    <w:p w14:paraId="6D752CA2">
      <w:pPr>
        <w:pStyle w:val="10"/>
        <w:widowControl/>
        <w:spacing w:line="620" w:lineRule="exact"/>
        <w:ind w:firstLine="320" w:firstLineChars="100"/>
        <w:contextualSpacing/>
        <w:rPr>
          <w:rFonts w:ascii="仿宋" w:hAnsi="仿宋" w:eastAsia="仿宋"/>
          <w:color w:val="auto"/>
          <w:sz w:val="32"/>
          <w:szCs w:val="32"/>
        </w:rPr>
      </w:pPr>
      <w:r>
        <w:rPr>
          <w:rFonts w:hint="eastAsia" w:ascii="仿宋" w:hAnsi="仿宋" w:eastAsia="仿宋"/>
          <w:color w:val="auto"/>
          <w:sz w:val="32"/>
          <w:szCs w:val="32"/>
        </w:rPr>
        <w:t>二、机构设置</w:t>
      </w:r>
    </w:p>
    <w:p w14:paraId="25ACC728">
      <w:pPr>
        <w:pStyle w:val="12"/>
        <w:ind w:firstLine="666" w:firstLineChars="196"/>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部机关：中共永吉县委组织部</w:t>
      </w:r>
    </w:p>
    <w:p w14:paraId="2655ED92">
      <w:pPr>
        <w:pStyle w:val="12"/>
        <w:ind w:firstLine="666" w:firstLineChars="196"/>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参公事业单位：永吉县干部档案室、中共永吉县委党史研究室、永吉县党员干部现代远程教育中心。</w:t>
      </w:r>
    </w:p>
    <w:p w14:paraId="485665E1">
      <w:pPr>
        <w:pStyle w:val="12"/>
        <w:ind w:firstLine="666" w:firstLineChars="196"/>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事业单位：永吉县老干部服务中心、永吉县人才引进服务中心。</w:t>
      </w:r>
    </w:p>
    <w:p w14:paraId="1793BF1A">
      <w:pPr>
        <w:pStyle w:val="12"/>
        <w:ind w:firstLine="666" w:firstLineChars="196"/>
        <w:rPr>
          <w:rFonts w:hint="default" w:ascii="Times New Roman" w:hAnsi="Times New Roman" w:eastAsia="黑体" w:cs="Times New Roman"/>
          <w:color w:val="auto"/>
          <w:sz w:val="34"/>
          <w:szCs w:val="34"/>
          <w:highlight w:val="none"/>
        </w:rPr>
      </w:pPr>
      <w:r>
        <w:rPr>
          <w:rFonts w:hint="default" w:ascii="Times New Roman" w:hAnsi="Times New Roman" w:eastAsia="仿宋_GB2312" w:cs="Times New Roman"/>
          <w:color w:val="auto"/>
          <w:sz w:val="34"/>
          <w:szCs w:val="34"/>
          <w:highlight w:val="none"/>
        </w:rPr>
        <w:t>人员情况：部机关在职人员</w:t>
      </w:r>
      <w:r>
        <w:rPr>
          <w:rFonts w:hint="eastAsia" w:ascii="Times New Roman" w:hAnsi="Times New Roman" w:cs="Times New Roman"/>
          <w:color w:val="auto"/>
          <w:sz w:val="34"/>
          <w:szCs w:val="34"/>
          <w:highlight w:val="none"/>
          <w:lang w:val="en-US" w:eastAsia="zh-CN"/>
        </w:rPr>
        <w:t>20</w:t>
      </w:r>
      <w:r>
        <w:rPr>
          <w:rFonts w:hint="default" w:ascii="Times New Roman" w:hAnsi="Times New Roman" w:eastAsia="仿宋_GB2312" w:cs="Times New Roman"/>
          <w:color w:val="auto"/>
          <w:sz w:val="34"/>
          <w:szCs w:val="34"/>
          <w:highlight w:val="none"/>
        </w:rPr>
        <w:t>人，编制数24人，领导职数</w:t>
      </w:r>
      <w:r>
        <w:rPr>
          <w:rFonts w:hint="default" w:ascii="Times New Roman" w:hAnsi="Times New Roman" w:cs="Times New Roman"/>
          <w:color w:val="auto"/>
          <w:sz w:val="34"/>
          <w:szCs w:val="34"/>
          <w:highlight w:val="none"/>
          <w:lang w:val="en-US" w:eastAsia="zh-CN"/>
        </w:rPr>
        <w:t>4</w:t>
      </w:r>
      <w:r>
        <w:rPr>
          <w:rFonts w:hint="default" w:ascii="Times New Roman" w:hAnsi="Times New Roman" w:eastAsia="仿宋_GB2312" w:cs="Times New Roman"/>
          <w:color w:val="auto"/>
          <w:sz w:val="34"/>
          <w:szCs w:val="34"/>
          <w:highlight w:val="none"/>
        </w:rPr>
        <w:t>人。参公事业单位在职人员</w:t>
      </w:r>
      <w:r>
        <w:rPr>
          <w:rFonts w:hint="eastAsia" w:ascii="Times New Roman" w:hAnsi="Times New Roman" w:cs="Times New Roman"/>
          <w:color w:val="auto"/>
          <w:sz w:val="34"/>
          <w:szCs w:val="34"/>
          <w:highlight w:val="none"/>
          <w:lang w:val="en-US" w:eastAsia="zh-CN"/>
        </w:rPr>
        <w:t>11</w:t>
      </w:r>
      <w:r>
        <w:rPr>
          <w:rFonts w:hint="default" w:ascii="Times New Roman" w:hAnsi="Times New Roman" w:eastAsia="仿宋_GB2312" w:cs="Times New Roman"/>
          <w:color w:val="auto"/>
          <w:sz w:val="34"/>
          <w:szCs w:val="34"/>
          <w:highlight w:val="none"/>
        </w:rPr>
        <w:t>人，编制数1</w:t>
      </w:r>
      <w:r>
        <w:rPr>
          <w:rFonts w:hint="eastAsia" w:ascii="Times New Roman" w:hAnsi="Times New Roman" w:cs="Times New Roman"/>
          <w:color w:val="auto"/>
          <w:sz w:val="34"/>
          <w:szCs w:val="34"/>
          <w:highlight w:val="none"/>
          <w:lang w:val="en-US" w:eastAsia="zh-CN"/>
        </w:rPr>
        <w:t>5</w:t>
      </w:r>
      <w:r>
        <w:rPr>
          <w:rFonts w:hint="default" w:ascii="Times New Roman" w:hAnsi="Times New Roman" w:eastAsia="仿宋_GB2312" w:cs="Times New Roman"/>
          <w:color w:val="auto"/>
          <w:sz w:val="34"/>
          <w:szCs w:val="34"/>
          <w:highlight w:val="none"/>
        </w:rPr>
        <w:t>人，领导职数3人。事业单位在职人数</w:t>
      </w:r>
      <w:r>
        <w:rPr>
          <w:rFonts w:hint="eastAsia" w:ascii="Times New Roman" w:hAnsi="Times New Roman" w:cs="Times New Roman"/>
          <w:color w:val="auto"/>
          <w:sz w:val="34"/>
          <w:szCs w:val="34"/>
          <w:highlight w:val="none"/>
          <w:lang w:val="en-US" w:eastAsia="zh-CN"/>
        </w:rPr>
        <w:t>13</w:t>
      </w:r>
      <w:r>
        <w:rPr>
          <w:rFonts w:hint="default" w:ascii="Times New Roman" w:hAnsi="Times New Roman" w:eastAsia="仿宋_GB2312" w:cs="Times New Roman"/>
          <w:color w:val="auto"/>
          <w:sz w:val="34"/>
          <w:szCs w:val="34"/>
          <w:highlight w:val="none"/>
        </w:rPr>
        <w:t>人，编制数</w:t>
      </w:r>
      <w:r>
        <w:rPr>
          <w:rFonts w:hint="eastAsia" w:ascii="Times New Roman" w:hAnsi="Times New Roman" w:cs="Times New Roman"/>
          <w:color w:val="auto"/>
          <w:sz w:val="34"/>
          <w:szCs w:val="34"/>
          <w:highlight w:val="none"/>
          <w:lang w:val="en-US" w:eastAsia="zh-CN"/>
        </w:rPr>
        <w:t>106</w:t>
      </w:r>
      <w:r>
        <w:rPr>
          <w:rFonts w:hint="default" w:ascii="Times New Roman" w:hAnsi="Times New Roman" w:eastAsia="仿宋_GB2312" w:cs="Times New Roman"/>
          <w:color w:val="auto"/>
          <w:sz w:val="34"/>
          <w:szCs w:val="34"/>
          <w:highlight w:val="none"/>
        </w:rPr>
        <w:t>人，领导职数</w:t>
      </w:r>
      <w:r>
        <w:rPr>
          <w:rFonts w:hint="default" w:ascii="Times New Roman" w:hAnsi="Times New Roman" w:cs="Times New Roman"/>
          <w:color w:val="auto"/>
          <w:sz w:val="34"/>
          <w:szCs w:val="34"/>
          <w:highlight w:val="none"/>
          <w:lang w:val="en-US" w:eastAsia="zh-CN"/>
        </w:rPr>
        <w:t>3</w:t>
      </w:r>
      <w:r>
        <w:rPr>
          <w:rFonts w:hint="default" w:ascii="Times New Roman" w:hAnsi="Times New Roman" w:eastAsia="仿宋_GB2312" w:cs="Times New Roman"/>
          <w:color w:val="auto"/>
          <w:sz w:val="34"/>
          <w:szCs w:val="34"/>
          <w:highlight w:val="none"/>
        </w:rPr>
        <w:t>人（</w:t>
      </w:r>
      <w:r>
        <w:rPr>
          <w:rFonts w:hint="eastAsia" w:ascii="Times New Roman" w:hAnsi="Times New Roman" w:cs="Times New Roman"/>
          <w:color w:val="auto"/>
          <w:sz w:val="34"/>
          <w:szCs w:val="34"/>
          <w:highlight w:val="none"/>
          <w:lang w:val="en-US" w:eastAsia="zh-CN"/>
        </w:rPr>
        <w:t>一正两副</w:t>
      </w:r>
      <w:r>
        <w:rPr>
          <w:rFonts w:hint="default" w:ascii="Times New Roman" w:hAnsi="Times New Roman" w:eastAsia="仿宋_GB2312" w:cs="Times New Roman"/>
          <w:color w:val="auto"/>
          <w:sz w:val="34"/>
          <w:szCs w:val="34"/>
          <w:highlight w:val="none"/>
        </w:rPr>
        <w:t>）</w:t>
      </w:r>
      <w:r>
        <w:rPr>
          <w:rFonts w:hint="default" w:ascii="Times New Roman" w:hAnsi="Times New Roman" w:eastAsia="仿宋_GB2312" w:cs="Times New Roman"/>
          <w:color w:val="auto"/>
          <w:sz w:val="34"/>
          <w:szCs w:val="34"/>
          <w:highlight w:val="none"/>
          <w:lang w:eastAsia="zh-CN"/>
        </w:rPr>
        <w:t>。</w:t>
      </w:r>
    </w:p>
    <w:p w14:paraId="08C38348">
      <w:pPr>
        <w:jc w:val="center"/>
        <w:rPr>
          <w:rFonts w:ascii="黑体" w:hAnsi="黑体" w:eastAsia="黑体"/>
          <w:color w:val="auto"/>
          <w:sz w:val="32"/>
          <w:szCs w:val="32"/>
        </w:rPr>
      </w:pPr>
    </w:p>
    <w:p w14:paraId="653D2C6B">
      <w:pPr>
        <w:jc w:val="center"/>
        <w:rPr>
          <w:rFonts w:ascii="黑体" w:hAnsi="黑体" w:eastAsia="黑体"/>
          <w:color w:val="auto"/>
          <w:sz w:val="32"/>
          <w:szCs w:val="32"/>
        </w:rPr>
      </w:pPr>
      <w:r>
        <w:rPr>
          <w:rFonts w:hint="eastAsia" w:ascii="黑体" w:hAnsi="黑体" w:eastAsia="黑体"/>
          <w:color w:val="auto"/>
          <w:sz w:val="32"/>
          <w:szCs w:val="32"/>
        </w:rPr>
        <w:t>第二部分  情况说明</w:t>
      </w:r>
    </w:p>
    <w:p w14:paraId="1A612949">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14665F96">
      <w:pPr>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一、2026年收支预算总体情况</w:t>
      </w:r>
    </w:p>
    <w:p w14:paraId="790B2477">
      <w:pPr>
        <w:pStyle w:val="11"/>
        <w:ind w:firstLine="640" w:firstLineChars="200"/>
        <w:jc w:val="left"/>
        <w:rPr>
          <w:rFonts w:ascii="仿宋" w:hAnsi="仿宋" w:eastAsia="仿宋"/>
          <w:color w:val="auto"/>
          <w:sz w:val="32"/>
          <w:szCs w:val="32"/>
        </w:rPr>
      </w:pPr>
      <w:r>
        <w:rPr>
          <w:rFonts w:hint="eastAsia" w:ascii="仿宋" w:hAnsi="仿宋" w:eastAsia="仿宋"/>
          <w:color w:val="auto"/>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color w:val="auto"/>
          <w:sz w:val="32"/>
          <w:szCs w:val="32"/>
          <w:lang w:val="en-US" w:eastAsia="zh-CN"/>
        </w:rPr>
        <w:t>693.17</w:t>
      </w:r>
      <w:r>
        <w:rPr>
          <w:rFonts w:hint="eastAsia" w:ascii="仿宋" w:hAnsi="仿宋" w:eastAsia="仿宋"/>
          <w:color w:val="auto"/>
          <w:sz w:val="32"/>
          <w:szCs w:val="32"/>
        </w:rPr>
        <w:t xml:space="preserve">万元，比 2025年预算数 </w:t>
      </w:r>
      <w:r>
        <w:rPr>
          <w:rFonts w:hint="eastAsia" w:ascii="仿宋" w:hAnsi="仿宋" w:eastAsia="仿宋"/>
          <w:color w:val="auto"/>
          <w:sz w:val="32"/>
          <w:szCs w:val="32"/>
          <w:lang w:val="en-US" w:eastAsia="zh-CN"/>
        </w:rPr>
        <w:t>443.63</w:t>
      </w:r>
      <w:r>
        <w:rPr>
          <w:rFonts w:hint="eastAsia" w:ascii="仿宋" w:hAnsi="仿宋" w:eastAsia="仿宋"/>
          <w:color w:val="auto"/>
          <w:sz w:val="32"/>
          <w:szCs w:val="32"/>
        </w:rPr>
        <w:t>万元增</w:t>
      </w:r>
      <w:r>
        <w:rPr>
          <w:rFonts w:hint="eastAsia" w:ascii="仿宋" w:hAnsi="仿宋" w:eastAsia="仿宋"/>
          <w:color w:val="auto"/>
          <w:sz w:val="32"/>
          <w:szCs w:val="32"/>
          <w:lang w:val="en-US" w:eastAsia="zh-CN"/>
        </w:rPr>
        <w:t>249.54</w:t>
      </w:r>
      <w:r>
        <w:rPr>
          <w:rFonts w:hint="eastAsia" w:ascii="仿宋" w:hAnsi="仿宋" w:eastAsia="仿宋"/>
          <w:color w:val="auto"/>
          <w:sz w:val="32"/>
          <w:szCs w:val="32"/>
        </w:rPr>
        <w:t xml:space="preserve"> 万元，主要原因：</w:t>
      </w:r>
      <w:r>
        <w:rPr>
          <w:rFonts w:hint="eastAsia" w:ascii="仿宋" w:hAnsi="仿宋" w:eastAsia="仿宋"/>
          <w:color w:val="auto"/>
          <w:sz w:val="32"/>
          <w:szCs w:val="32"/>
          <w:lang w:val="en-US" w:eastAsia="zh-CN"/>
        </w:rPr>
        <w:t>按照2026年新预算执行标准核定</w:t>
      </w:r>
      <w:r>
        <w:rPr>
          <w:rFonts w:hint="eastAsia" w:ascii="仿宋" w:hAnsi="仿宋" w:eastAsia="仿宋"/>
          <w:color w:val="auto"/>
          <w:sz w:val="32"/>
          <w:szCs w:val="32"/>
        </w:rPr>
        <w:t xml:space="preserve"> 。</w:t>
      </w:r>
    </w:p>
    <w:p w14:paraId="0594D500">
      <w:pPr>
        <w:pStyle w:val="11"/>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二、2026年收入预算情况</w:t>
      </w:r>
    </w:p>
    <w:p w14:paraId="5BB9355F">
      <w:pPr>
        <w:pStyle w:val="11"/>
        <w:ind w:left="319" w:leftChars="152" w:firstLine="320" w:firstLineChars="100"/>
        <w:jc w:val="left"/>
        <w:rPr>
          <w:rFonts w:ascii="仿宋" w:hAnsi="仿宋" w:eastAsia="仿宋"/>
          <w:color w:val="auto"/>
          <w:sz w:val="32"/>
          <w:szCs w:val="32"/>
        </w:rPr>
      </w:pPr>
      <w:r>
        <w:rPr>
          <w:rFonts w:hint="eastAsia" w:ascii="仿宋" w:hAnsi="仿宋" w:eastAsia="仿宋"/>
          <w:color w:val="auto"/>
          <w:sz w:val="32"/>
          <w:szCs w:val="32"/>
        </w:rPr>
        <w:t>2026年本单位收入预算</w:t>
      </w:r>
      <w:r>
        <w:rPr>
          <w:rFonts w:hint="eastAsia" w:ascii="仿宋" w:hAnsi="仿宋" w:eastAsia="仿宋"/>
          <w:color w:val="auto"/>
          <w:sz w:val="32"/>
          <w:szCs w:val="32"/>
          <w:lang w:val="en-US" w:eastAsia="zh-CN"/>
        </w:rPr>
        <w:t>693.17</w:t>
      </w:r>
      <w:r>
        <w:rPr>
          <w:rFonts w:hint="eastAsia" w:ascii="仿宋" w:hAnsi="仿宋" w:eastAsia="仿宋"/>
          <w:color w:val="auto"/>
          <w:sz w:val="32"/>
          <w:szCs w:val="32"/>
        </w:rPr>
        <w:t>万元，其中：一般公共预算收入</w:t>
      </w:r>
      <w:r>
        <w:rPr>
          <w:rFonts w:hint="eastAsia" w:ascii="仿宋" w:hAnsi="仿宋" w:eastAsia="仿宋"/>
          <w:color w:val="auto"/>
          <w:sz w:val="32"/>
          <w:szCs w:val="32"/>
          <w:lang w:val="en-US" w:eastAsia="zh-CN"/>
        </w:rPr>
        <w:t>693.17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%；政府性基金收入</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w:t>
      </w:r>
    </w:p>
    <w:p w14:paraId="262A2F8F">
      <w:pPr>
        <w:pStyle w:val="11"/>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 xml:space="preserve"> 三、2026年支出预算情况</w:t>
      </w:r>
    </w:p>
    <w:p w14:paraId="25859D74">
      <w:pPr>
        <w:pStyle w:val="11"/>
        <w:ind w:firstLine="640" w:firstLineChars="200"/>
        <w:rPr>
          <w:rFonts w:ascii="仿宋" w:hAnsi="仿宋" w:eastAsia="仿宋"/>
          <w:color w:val="auto"/>
          <w:sz w:val="32"/>
          <w:szCs w:val="32"/>
        </w:rPr>
      </w:pPr>
      <w:r>
        <w:rPr>
          <w:rFonts w:hint="eastAsia" w:ascii="仿宋" w:hAnsi="仿宋" w:eastAsia="仿宋"/>
          <w:color w:val="auto"/>
          <w:sz w:val="32"/>
          <w:szCs w:val="32"/>
        </w:rPr>
        <w:t>2026年支出预算</w:t>
      </w:r>
      <w:r>
        <w:rPr>
          <w:rFonts w:hint="eastAsia" w:ascii="仿宋" w:hAnsi="仿宋" w:eastAsia="仿宋"/>
          <w:color w:val="auto"/>
          <w:sz w:val="32"/>
          <w:szCs w:val="32"/>
          <w:lang w:val="en-US" w:eastAsia="zh-CN"/>
        </w:rPr>
        <w:t>693.17</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693.17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%；项目支出</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w:t>
      </w:r>
    </w:p>
    <w:p w14:paraId="51040F2B">
      <w:pPr>
        <w:pStyle w:val="11"/>
        <w:ind w:firstLine="640" w:firstLineChars="200"/>
        <w:jc w:val="left"/>
        <w:rPr>
          <w:rFonts w:ascii="楷体" w:hAnsi="楷体" w:eastAsia="楷体"/>
          <w:color w:val="auto"/>
          <w:sz w:val="32"/>
          <w:szCs w:val="32"/>
        </w:rPr>
      </w:pPr>
      <w:r>
        <w:rPr>
          <w:rFonts w:hint="eastAsia" w:ascii="楷体" w:hAnsi="楷体" w:eastAsia="楷体"/>
          <w:color w:val="auto"/>
          <w:sz w:val="32"/>
          <w:szCs w:val="32"/>
        </w:rPr>
        <w:t>四、2026年财政拨款收支预算情况</w:t>
      </w:r>
    </w:p>
    <w:p w14:paraId="032F5B2D">
      <w:pPr>
        <w:pStyle w:val="11"/>
        <w:ind w:firstLine="640" w:firstLineChars="200"/>
        <w:rPr>
          <w:rFonts w:hint="eastAsia" w:ascii="仿宋" w:hAnsi="仿宋" w:eastAsia="仿宋"/>
          <w:color w:val="auto"/>
          <w:sz w:val="32"/>
          <w:szCs w:val="32"/>
          <w:lang w:val="en-US" w:eastAsia="zh-CN"/>
        </w:rPr>
      </w:pPr>
      <w:r>
        <w:rPr>
          <w:rFonts w:hint="eastAsia" w:ascii="仿宋" w:hAnsi="仿宋" w:eastAsia="仿宋"/>
          <w:color w:val="auto"/>
          <w:sz w:val="32"/>
          <w:szCs w:val="32"/>
        </w:rPr>
        <w:t>2026年财政拨款收支总预算</w:t>
      </w:r>
      <w:r>
        <w:rPr>
          <w:rFonts w:hint="eastAsia" w:ascii="仿宋" w:hAnsi="仿宋" w:eastAsia="仿宋"/>
          <w:color w:val="auto"/>
          <w:sz w:val="32"/>
          <w:szCs w:val="32"/>
          <w:lang w:val="en-US" w:eastAsia="zh-CN"/>
        </w:rPr>
        <w:t>693.17</w:t>
      </w:r>
      <w:r>
        <w:rPr>
          <w:rFonts w:hint="eastAsia" w:ascii="仿宋" w:hAnsi="仿宋" w:eastAsia="仿宋"/>
          <w:color w:val="auto"/>
          <w:sz w:val="32"/>
          <w:szCs w:val="32"/>
        </w:rPr>
        <w:t>万元，其中：本年收入</w:t>
      </w:r>
      <w:r>
        <w:rPr>
          <w:rFonts w:hint="eastAsia" w:ascii="仿宋" w:hAnsi="仿宋" w:eastAsia="仿宋"/>
          <w:color w:val="auto"/>
          <w:sz w:val="32"/>
          <w:szCs w:val="32"/>
          <w:lang w:val="en-US" w:eastAsia="zh-CN"/>
        </w:rPr>
        <w:t>693.17</w:t>
      </w:r>
      <w:r>
        <w:rPr>
          <w:rFonts w:hint="eastAsia" w:ascii="仿宋" w:hAnsi="仿宋" w:eastAsia="仿宋"/>
          <w:color w:val="auto"/>
          <w:sz w:val="32"/>
          <w:szCs w:val="32"/>
        </w:rPr>
        <w:t>万元。本年支出</w:t>
      </w:r>
      <w:r>
        <w:rPr>
          <w:rFonts w:hint="eastAsia" w:ascii="仿宋" w:hAnsi="仿宋" w:eastAsia="仿宋"/>
          <w:color w:val="auto"/>
          <w:sz w:val="32"/>
          <w:szCs w:val="32"/>
          <w:lang w:val="en-US" w:eastAsia="zh-CN"/>
        </w:rPr>
        <w:t>693.17</w:t>
      </w:r>
      <w:r>
        <w:rPr>
          <w:rFonts w:hint="eastAsia" w:ascii="仿宋" w:hAnsi="仿宋" w:eastAsia="仿宋"/>
          <w:color w:val="auto"/>
          <w:sz w:val="32"/>
          <w:szCs w:val="32"/>
        </w:rPr>
        <w:t>万元，支出包括：一般公共服务支出</w:t>
      </w:r>
      <w:r>
        <w:rPr>
          <w:rFonts w:hint="eastAsia" w:ascii="仿宋" w:hAnsi="仿宋" w:eastAsia="仿宋"/>
          <w:color w:val="auto"/>
          <w:sz w:val="32"/>
          <w:szCs w:val="32"/>
          <w:lang w:val="en-US" w:eastAsia="zh-CN"/>
        </w:rPr>
        <w:t>609.23</w:t>
      </w:r>
      <w:r>
        <w:rPr>
          <w:rFonts w:hint="eastAsia" w:ascii="仿宋" w:hAnsi="仿宋" w:eastAsia="仿宋"/>
          <w:color w:val="auto"/>
          <w:sz w:val="32"/>
          <w:szCs w:val="32"/>
        </w:rPr>
        <w:t>万元，社会保障和就业支出</w:t>
      </w:r>
      <w:r>
        <w:rPr>
          <w:rFonts w:hint="eastAsia" w:ascii="仿宋" w:hAnsi="仿宋" w:eastAsia="仿宋"/>
          <w:color w:val="auto"/>
          <w:sz w:val="32"/>
          <w:szCs w:val="32"/>
          <w:lang w:val="en-US" w:eastAsia="zh-CN"/>
        </w:rPr>
        <w:t>46.84</w:t>
      </w:r>
      <w:r>
        <w:rPr>
          <w:rFonts w:hint="eastAsia" w:ascii="仿宋" w:hAnsi="仿宋" w:eastAsia="仿宋"/>
          <w:color w:val="auto"/>
          <w:sz w:val="32"/>
          <w:szCs w:val="32"/>
        </w:rPr>
        <w:t>万元，住房保障支出</w:t>
      </w:r>
      <w:r>
        <w:rPr>
          <w:rFonts w:hint="eastAsia" w:ascii="仿宋" w:hAnsi="仿宋" w:eastAsia="仿宋"/>
          <w:color w:val="auto"/>
          <w:sz w:val="32"/>
          <w:szCs w:val="32"/>
          <w:lang w:val="en-US" w:eastAsia="zh-CN"/>
        </w:rPr>
        <w:t>37.10</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p>
    <w:p w14:paraId="113EA7E6">
      <w:pPr>
        <w:pStyle w:val="11"/>
        <w:rPr>
          <w:rFonts w:ascii="楷体" w:hAnsi="楷体" w:eastAsia="楷体"/>
          <w:color w:val="auto"/>
          <w:sz w:val="32"/>
          <w:szCs w:val="32"/>
        </w:rPr>
      </w:pPr>
      <w:r>
        <w:rPr>
          <w:rFonts w:hint="eastAsia" w:ascii="仿宋" w:hAnsi="仿宋" w:eastAsia="仿宋"/>
          <w:color w:val="auto"/>
          <w:kern w:val="0"/>
          <w:sz w:val="32"/>
          <w:szCs w:val="32"/>
        </w:rPr>
        <w:t xml:space="preserve">    </w:t>
      </w:r>
      <w:r>
        <w:rPr>
          <w:rFonts w:hint="eastAsia" w:ascii="楷体" w:hAnsi="楷体" w:eastAsia="楷体" w:cs="楷体"/>
          <w:color w:val="auto"/>
          <w:kern w:val="0"/>
          <w:sz w:val="32"/>
          <w:szCs w:val="32"/>
        </w:rPr>
        <w:t>五、2026</w:t>
      </w:r>
      <w:r>
        <w:rPr>
          <w:rFonts w:hint="eastAsia" w:ascii="楷体" w:hAnsi="楷体" w:eastAsia="楷体"/>
          <w:color w:val="auto"/>
          <w:kern w:val="0"/>
          <w:sz w:val="32"/>
          <w:szCs w:val="32"/>
        </w:rPr>
        <w:t>年一般公共预算支出情况</w:t>
      </w:r>
    </w:p>
    <w:p w14:paraId="362C178E">
      <w:pPr>
        <w:ind w:firstLine="640" w:firstLineChars="200"/>
        <w:rPr>
          <w:rFonts w:ascii="仿宋" w:hAnsi="仿宋" w:eastAsia="仿宋"/>
          <w:color w:val="auto"/>
          <w:sz w:val="32"/>
          <w:szCs w:val="32"/>
        </w:rPr>
      </w:pPr>
      <w:r>
        <w:rPr>
          <w:rFonts w:hint="eastAsia" w:ascii="仿宋" w:hAnsi="仿宋" w:eastAsia="仿宋"/>
          <w:color w:val="auto"/>
          <w:sz w:val="32"/>
          <w:szCs w:val="32"/>
        </w:rPr>
        <w:t>2026年一般公共预算当年拨款</w:t>
      </w:r>
      <w:r>
        <w:rPr>
          <w:rFonts w:hint="eastAsia" w:ascii="仿宋" w:hAnsi="仿宋" w:eastAsia="仿宋"/>
          <w:color w:val="auto"/>
          <w:sz w:val="32"/>
          <w:szCs w:val="32"/>
          <w:lang w:val="en-US" w:eastAsia="zh-CN"/>
        </w:rPr>
        <w:t>693.17</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693.17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%；项目支出</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%。基本支出中，人员经费</w:t>
      </w:r>
      <w:r>
        <w:rPr>
          <w:rFonts w:hint="eastAsia" w:ascii="仿宋" w:hAnsi="仿宋" w:eastAsia="仿宋"/>
          <w:color w:val="auto"/>
          <w:sz w:val="32"/>
          <w:szCs w:val="32"/>
          <w:lang w:val="en-US" w:eastAsia="zh-CN"/>
        </w:rPr>
        <w:t>609.23</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87.89</w:t>
      </w:r>
      <w:r>
        <w:rPr>
          <w:rFonts w:hint="eastAsia" w:ascii="仿宋" w:hAnsi="仿宋" w:eastAsia="仿宋"/>
          <w:color w:val="auto"/>
          <w:sz w:val="32"/>
          <w:szCs w:val="32"/>
        </w:rPr>
        <w:t>%；公用经费</w:t>
      </w:r>
      <w:r>
        <w:rPr>
          <w:rFonts w:hint="eastAsia" w:ascii="仿宋" w:hAnsi="仿宋" w:eastAsia="仿宋"/>
          <w:color w:val="auto"/>
          <w:sz w:val="32"/>
          <w:szCs w:val="32"/>
          <w:lang w:val="en-US" w:eastAsia="zh-CN"/>
        </w:rPr>
        <w:t>83.94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12.11</w:t>
      </w:r>
      <w:r>
        <w:rPr>
          <w:rFonts w:hint="eastAsia" w:ascii="仿宋" w:hAnsi="仿宋" w:eastAsia="仿宋"/>
          <w:color w:val="auto"/>
          <w:sz w:val="32"/>
          <w:szCs w:val="32"/>
        </w:rPr>
        <w:t>%。</w:t>
      </w:r>
    </w:p>
    <w:p w14:paraId="7AE3769D">
      <w:pPr>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一般公共服务（类）支出 </w:t>
      </w:r>
      <w:r>
        <w:rPr>
          <w:rFonts w:hint="eastAsia" w:ascii="仿宋" w:hAnsi="仿宋" w:eastAsia="仿宋"/>
          <w:color w:val="auto"/>
          <w:sz w:val="32"/>
          <w:szCs w:val="32"/>
          <w:lang w:val="en-US" w:eastAsia="zh-CN"/>
        </w:rPr>
        <w:t>609.23</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87.89</w:t>
      </w:r>
      <w:r>
        <w:rPr>
          <w:rFonts w:hint="eastAsia" w:ascii="仿宋" w:hAnsi="仿宋" w:eastAsia="仿宋"/>
          <w:color w:val="auto"/>
          <w:sz w:val="32"/>
          <w:szCs w:val="32"/>
        </w:rPr>
        <w:t>%，主要用于：</w:t>
      </w:r>
      <w:r>
        <w:rPr>
          <w:rFonts w:hint="default" w:ascii="Times New Roman" w:hAnsi="Times New Roman" w:eastAsia="仿宋_GB2312" w:cs="Times New Roman"/>
          <w:color w:val="auto"/>
          <w:sz w:val="34"/>
          <w:szCs w:val="34"/>
          <w:highlight w:val="none"/>
        </w:rPr>
        <w:t>行政运行事务、一般行政管理事务、公务员事务及其他组织事务支出</w:t>
      </w:r>
      <w:r>
        <w:rPr>
          <w:rFonts w:hint="eastAsia" w:ascii="仿宋" w:hAnsi="仿宋" w:eastAsia="仿宋"/>
          <w:color w:val="auto"/>
          <w:sz w:val="32"/>
          <w:szCs w:val="32"/>
        </w:rPr>
        <w:t>。</w:t>
      </w:r>
    </w:p>
    <w:p w14:paraId="3F87882C">
      <w:pPr>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社会保障和就业（类）支出 </w:t>
      </w:r>
      <w:r>
        <w:rPr>
          <w:rFonts w:hint="eastAsia" w:ascii="仿宋" w:hAnsi="仿宋" w:eastAsia="仿宋"/>
          <w:color w:val="auto"/>
          <w:sz w:val="32"/>
          <w:szCs w:val="32"/>
          <w:lang w:val="en-US" w:eastAsia="zh-CN"/>
        </w:rPr>
        <w:t>46.84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6.76</w:t>
      </w:r>
      <w:r>
        <w:rPr>
          <w:rFonts w:hint="eastAsia" w:ascii="仿宋" w:hAnsi="仿宋" w:eastAsia="仿宋"/>
          <w:color w:val="auto"/>
          <w:sz w:val="32"/>
          <w:szCs w:val="32"/>
        </w:rPr>
        <w:t>%，主要用于：</w:t>
      </w:r>
      <w:r>
        <w:rPr>
          <w:rFonts w:hint="default" w:ascii="Times New Roman" w:hAnsi="Times New Roman" w:eastAsia="仿宋_GB2312" w:cs="Times New Roman"/>
          <w:color w:val="auto"/>
          <w:sz w:val="34"/>
          <w:szCs w:val="34"/>
          <w:highlight w:val="none"/>
          <w:lang w:eastAsia="zh-CN"/>
        </w:rPr>
        <w:t>在职人员养老保险支出</w:t>
      </w:r>
      <w:r>
        <w:rPr>
          <w:rFonts w:hint="eastAsia" w:ascii="仿宋" w:hAnsi="仿宋" w:eastAsia="仿宋"/>
          <w:color w:val="auto"/>
          <w:sz w:val="32"/>
          <w:szCs w:val="32"/>
        </w:rPr>
        <w:t>。</w:t>
      </w:r>
    </w:p>
    <w:p w14:paraId="6671F3B4">
      <w:pPr>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住房保障（类）支出 </w:t>
      </w:r>
      <w:r>
        <w:rPr>
          <w:rFonts w:hint="eastAsia" w:ascii="仿宋" w:hAnsi="仿宋" w:eastAsia="仿宋"/>
          <w:color w:val="auto"/>
          <w:sz w:val="32"/>
          <w:szCs w:val="32"/>
          <w:lang w:val="en-US" w:eastAsia="zh-CN"/>
        </w:rPr>
        <w:t>37.10</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5.35</w:t>
      </w:r>
      <w:r>
        <w:rPr>
          <w:rFonts w:hint="eastAsia" w:ascii="仿宋" w:hAnsi="仿宋" w:eastAsia="仿宋"/>
          <w:color w:val="auto"/>
          <w:sz w:val="32"/>
          <w:szCs w:val="32"/>
        </w:rPr>
        <w:t>%，主要用于：</w:t>
      </w:r>
      <w:r>
        <w:rPr>
          <w:rFonts w:hint="default" w:ascii="Times New Roman" w:hAnsi="Times New Roman" w:eastAsia="仿宋_GB2312" w:cs="Times New Roman"/>
          <w:color w:val="auto"/>
          <w:sz w:val="34"/>
          <w:szCs w:val="34"/>
          <w:highlight w:val="none"/>
          <w:lang w:eastAsia="zh-CN"/>
        </w:rPr>
        <w:t>在职人员住房公积金支出</w:t>
      </w:r>
      <w:r>
        <w:rPr>
          <w:rFonts w:hint="eastAsia" w:ascii="仿宋" w:hAnsi="仿宋" w:eastAsia="仿宋"/>
          <w:color w:val="auto"/>
          <w:sz w:val="32"/>
          <w:szCs w:val="32"/>
        </w:rPr>
        <w:t>。</w:t>
      </w:r>
    </w:p>
    <w:p w14:paraId="1D655B29">
      <w:pPr>
        <w:pStyle w:val="9"/>
        <w:rPr>
          <w:rFonts w:ascii="楷体" w:hAnsi="楷体" w:eastAsia="楷体"/>
          <w:color w:val="auto"/>
          <w:kern w:val="0"/>
          <w:sz w:val="32"/>
          <w:szCs w:val="32"/>
        </w:rPr>
      </w:pPr>
      <w:r>
        <w:rPr>
          <w:rFonts w:hint="eastAsia" w:ascii="仿宋" w:hAnsi="仿宋" w:eastAsia="仿宋"/>
          <w:color w:val="auto"/>
          <w:kern w:val="0"/>
          <w:sz w:val="32"/>
          <w:szCs w:val="32"/>
        </w:rPr>
        <w:t xml:space="preserve">   </w:t>
      </w:r>
      <w:r>
        <w:rPr>
          <w:rFonts w:hint="eastAsia" w:ascii="楷体" w:hAnsi="楷体" w:eastAsia="楷体"/>
          <w:color w:val="auto"/>
          <w:kern w:val="0"/>
          <w:sz w:val="32"/>
          <w:szCs w:val="32"/>
        </w:rPr>
        <w:t>六、2026年一般公共预算基本支出情况</w:t>
      </w:r>
    </w:p>
    <w:p w14:paraId="28556014">
      <w:pPr>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2026年一般公共预算基本支出 </w:t>
      </w:r>
      <w:r>
        <w:rPr>
          <w:rFonts w:hint="eastAsia" w:ascii="仿宋" w:hAnsi="仿宋" w:eastAsia="仿宋"/>
          <w:color w:val="auto"/>
          <w:sz w:val="32"/>
          <w:szCs w:val="32"/>
          <w:lang w:val="en-US" w:eastAsia="zh-CN"/>
        </w:rPr>
        <w:t>693.17</w:t>
      </w:r>
      <w:r>
        <w:rPr>
          <w:rFonts w:hint="eastAsia" w:ascii="仿宋" w:hAnsi="仿宋" w:eastAsia="仿宋"/>
          <w:color w:val="auto"/>
          <w:sz w:val="32"/>
          <w:szCs w:val="32"/>
        </w:rPr>
        <w:t>万元，其中：</w:t>
      </w:r>
    </w:p>
    <w:p w14:paraId="03F48596">
      <w:pPr>
        <w:ind w:firstLine="640" w:firstLineChars="200"/>
        <w:rPr>
          <w:rFonts w:ascii="仿宋" w:hAnsi="仿宋" w:eastAsia="仿宋"/>
          <w:color w:val="auto"/>
          <w:sz w:val="32"/>
          <w:szCs w:val="32"/>
        </w:rPr>
      </w:pPr>
      <w:r>
        <w:rPr>
          <w:rFonts w:hint="eastAsia" w:ascii="仿宋" w:hAnsi="仿宋" w:eastAsia="仿宋"/>
          <w:color w:val="auto"/>
          <w:sz w:val="32"/>
          <w:szCs w:val="32"/>
        </w:rPr>
        <w:t>人员经费</w:t>
      </w:r>
      <w:r>
        <w:rPr>
          <w:rFonts w:hint="eastAsia" w:ascii="仿宋" w:hAnsi="仿宋" w:eastAsia="仿宋"/>
          <w:color w:val="auto"/>
          <w:sz w:val="32"/>
          <w:szCs w:val="32"/>
          <w:lang w:val="en-US" w:eastAsia="zh-CN"/>
        </w:rPr>
        <w:t>609.23</w:t>
      </w:r>
      <w:r>
        <w:rPr>
          <w:rFonts w:hint="eastAsia" w:ascii="仿宋" w:hAnsi="仿宋" w:eastAsia="仿宋"/>
          <w:color w:val="auto"/>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color w:val="auto"/>
          <w:kern w:val="0"/>
          <w:sz w:val="32"/>
          <w:szCs w:val="32"/>
        </w:rPr>
      </w:pPr>
      <w:r>
        <w:rPr>
          <w:rFonts w:hint="eastAsia" w:ascii="仿宋" w:hAnsi="仿宋" w:eastAsia="仿宋"/>
          <w:color w:val="auto"/>
          <w:sz w:val="32"/>
          <w:szCs w:val="32"/>
        </w:rPr>
        <w:t>公用经费</w:t>
      </w:r>
      <w:r>
        <w:rPr>
          <w:rFonts w:hint="eastAsia" w:ascii="仿宋" w:hAnsi="仿宋" w:eastAsia="仿宋"/>
          <w:color w:val="auto"/>
          <w:sz w:val="32"/>
          <w:szCs w:val="32"/>
          <w:lang w:val="en-US" w:eastAsia="zh-CN"/>
        </w:rPr>
        <w:t>83.94</w:t>
      </w:r>
      <w:r>
        <w:rPr>
          <w:rFonts w:hint="eastAsia" w:ascii="仿宋" w:hAnsi="仿宋" w:eastAsia="仿宋"/>
          <w:color w:val="auto"/>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color w:val="auto"/>
          <w:kern w:val="0"/>
          <w:sz w:val="32"/>
          <w:szCs w:val="32"/>
        </w:rPr>
      </w:pPr>
      <w:r>
        <w:rPr>
          <w:rFonts w:hint="eastAsia" w:ascii="楷体" w:hAnsi="楷体" w:eastAsia="楷体"/>
          <w:color w:val="auto"/>
          <w:kern w:val="0"/>
          <w:sz w:val="32"/>
          <w:szCs w:val="32"/>
        </w:rPr>
        <w:t>七、2026年一般公共预算财政拨款“三公经费”情况</w:t>
      </w:r>
    </w:p>
    <w:p w14:paraId="2ABE82ED">
      <w:pPr>
        <w:pStyle w:val="9"/>
        <w:ind w:firstLine="627" w:firstLineChars="196"/>
        <w:rPr>
          <w:rFonts w:ascii="仿宋" w:hAnsi="仿宋" w:eastAsia="仿宋"/>
          <w:color w:val="auto"/>
          <w:kern w:val="0"/>
          <w:sz w:val="32"/>
          <w:szCs w:val="32"/>
        </w:rPr>
      </w:pPr>
      <w:r>
        <w:rPr>
          <w:rFonts w:hint="eastAsia" w:ascii="仿宋" w:hAnsi="仿宋" w:eastAsia="仿宋"/>
          <w:color w:val="auto"/>
          <w:kern w:val="0"/>
          <w:sz w:val="32"/>
          <w:szCs w:val="32"/>
        </w:rPr>
        <w:t>2026年“三公”经费预算数</w:t>
      </w:r>
      <w:r>
        <w:rPr>
          <w:rFonts w:hint="eastAsia" w:ascii="仿宋" w:hAnsi="仿宋" w:eastAsia="仿宋"/>
          <w:color w:val="auto"/>
          <w:kern w:val="0"/>
          <w:sz w:val="32"/>
          <w:szCs w:val="32"/>
          <w:lang w:val="en-US" w:eastAsia="zh-CN"/>
        </w:rPr>
        <w:t>0.58</w:t>
      </w:r>
      <w:r>
        <w:rPr>
          <w:rFonts w:hint="eastAsia" w:ascii="仿宋" w:hAnsi="仿宋" w:eastAsia="仿宋"/>
          <w:color w:val="auto"/>
          <w:kern w:val="0"/>
          <w:sz w:val="32"/>
          <w:szCs w:val="32"/>
        </w:rPr>
        <w:t>万元，比2025年预算减少</w:t>
      </w:r>
      <w:r>
        <w:rPr>
          <w:rFonts w:hint="eastAsia" w:ascii="仿宋" w:hAnsi="仿宋" w:eastAsia="仿宋"/>
          <w:color w:val="auto"/>
          <w:kern w:val="0"/>
          <w:sz w:val="32"/>
          <w:szCs w:val="32"/>
          <w:lang w:val="en-US" w:eastAsia="zh-CN"/>
        </w:rPr>
        <w:t>0.06</w:t>
      </w:r>
      <w:r>
        <w:rPr>
          <w:rFonts w:hint="eastAsia" w:ascii="仿宋" w:hAnsi="仿宋" w:eastAsia="仿宋"/>
          <w:color w:val="auto"/>
          <w:kern w:val="0"/>
          <w:sz w:val="32"/>
          <w:szCs w:val="32"/>
        </w:rPr>
        <w:t>万元。其中：</w:t>
      </w:r>
    </w:p>
    <w:p w14:paraId="1319EA80">
      <w:pPr>
        <w:pStyle w:val="9"/>
        <w:ind w:firstLine="627" w:firstLineChars="196"/>
        <w:rPr>
          <w:rFonts w:ascii="仿宋" w:hAnsi="仿宋" w:eastAsia="仿宋"/>
          <w:color w:val="auto"/>
          <w:kern w:val="0"/>
          <w:sz w:val="32"/>
          <w:szCs w:val="32"/>
        </w:rPr>
      </w:pPr>
      <w:r>
        <w:rPr>
          <w:rFonts w:hint="eastAsia" w:ascii="仿宋" w:hAnsi="仿宋" w:eastAsia="仿宋"/>
          <w:color w:val="auto"/>
          <w:kern w:val="0"/>
          <w:sz w:val="32"/>
          <w:szCs w:val="32"/>
        </w:rPr>
        <w:t>1.因公出国（境）费 0 万元，与 2025年预算数相同。</w:t>
      </w:r>
    </w:p>
    <w:p w14:paraId="548724E7">
      <w:pPr>
        <w:pStyle w:val="9"/>
        <w:ind w:firstLine="627" w:firstLineChars="196"/>
        <w:rPr>
          <w:rFonts w:hint="eastAsia" w:ascii="仿宋" w:hAnsi="仿宋" w:eastAsia="仿宋"/>
          <w:color w:val="auto"/>
          <w:kern w:val="0"/>
          <w:sz w:val="32"/>
          <w:szCs w:val="32"/>
          <w:lang w:eastAsia="zh-CN"/>
        </w:rPr>
      </w:pPr>
      <w:r>
        <w:rPr>
          <w:rFonts w:hint="eastAsia" w:ascii="仿宋" w:hAnsi="仿宋" w:eastAsia="仿宋"/>
          <w:color w:val="auto"/>
          <w:kern w:val="0"/>
          <w:sz w:val="32"/>
          <w:szCs w:val="32"/>
        </w:rPr>
        <w:t>2.公务接待费</w:t>
      </w:r>
      <w:r>
        <w:rPr>
          <w:rFonts w:hint="eastAsia" w:ascii="仿宋" w:hAnsi="仿宋" w:eastAsia="仿宋"/>
          <w:color w:val="auto"/>
          <w:kern w:val="0"/>
          <w:sz w:val="32"/>
          <w:szCs w:val="32"/>
          <w:lang w:val="en-US" w:eastAsia="zh-CN"/>
        </w:rPr>
        <w:t>0.58</w:t>
      </w:r>
      <w:r>
        <w:rPr>
          <w:rFonts w:hint="eastAsia" w:ascii="仿宋" w:hAnsi="仿宋" w:eastAsia="仿宋"/>
          <w:color w:val="auto"/>
          <w:kern w:val="0"/>
          <w:sz w:val="32"/>
          <w:szCs w:val="32"/>
        </w:rPr>
        <w:t>万元，比 2025年预算数减少</w:t>
      </w:r>
      <w:r>
        <w:rPr>
          <w:rFonts w:hint="eastAsia" w:ascii="仿宋" w:hAnsi="仿宋" w:eastAsia="仿宋"/>
          <w:color w:val="auto"/>
          <w:kern w:val="0"/>
          <w:sz w:val="32"/>
          <w:szCs w:val="32"/>
          <w:lang w:val="en-US" w:eastAsia="zh-CN"/>
        </w:rPr>
        <w:t>0.06</w:t>
      </w:r>
      <w:r>
        <w:rPr>
          <w:rFonts w:hint="eastAsia" w:ascii="仿宋" w:hAnsi="仿宋" w:eastAsia="仿宋"/>
          <w:color w:val="auto"/>
          <w:kern w:val="0"/>
          <w:sz w:val="32"/>
          <w:szCs w:val="32"/>
        </w:rPr>
        <w:t>万元，主要原因是</w:t>
      </w:r>
      <w:r>
        <w:rPr>
          <w:rFonts w:hint="default" w:ascii="Times New Roman" w:hAnsi="Times New Roman" w:eastAsia="仿宋_GB2312" w:cs="Times New Roman"/>
          <w:color w:val="auto"/>
          <w:sz w:val="34"/>
          <w:szCs w:val="34"/>
          <w:highlight w:val="none"/>
        </w:rPr>
        <w:t>按照政府统一要求，对三公经费进行了压减</w:t>
      </w:r>
      <w:r>
        <w:rPr>
          <w:rFonts w:hint="eastAsia" w:ascii="仿宋" w:hAnsi="仿宋" w:eastAsia="仿宋"/>
          <w:color w:val="auto"/>
          <w:kern w:val="0"/>
          <w:sz w:val="32"/>
          <w:szCs w:val="32"/>
        </w:rPr>
        <w:t>。</w:t>
      </w:r>
    </w:p>
    <w:p w14:paraId="372830BC">
      <w:pPr>
        <w:pStyle w:val="9"/>
        <w:ind w:firstLine="627" w:firstLineChars="196"/>
        <w:rPr>
          <w:rFonts w:ascii="仿宋" w:hAnsi="仿宋" w:eastAsia="仿宋"/>
          <w:color w:val="auto"/>
          <w:kern w:val="0"/>
          <w:sz w:val="32"/>
          <w:szCs w:val="32"/>
        </w:rPr>
      </w:pPr>
      <w:r>
        <w:rPr>
          <w:rFonts w:hint="eastAsia" w:ascii="仿宋" w:hAnsi="仿宋" w:eastAsia="仿宋"/>
          <w:color w:val="auto"/>
          <w:kern w:val="0"/>
          <w:sz w:val="32"/>
          <w:szCs w:val="32"/>
        </w:rPr>
        <w:t xml:space="preserve">3.公务用车购置及运行费 </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 xml:space="preserve"> 万元，比 2025 年预算数减</w:t>
      </w:r>
    </w:p>
    <w:p w14:paraId="7288DF6E">
      <w:pPr>
        <w:pStyle w:val="9"/>
        <w:rPr>
          <w:rFonts w:hint="eastAsia" w:ascii="仿宋" w:hAnsi="仿宋" w:eastAsia="仿宋"/>
          <w:color w:val="auto"/>
          <w:kern w:val="0"/>
          <w:sz w:val="32"/>
          <w:szCs w:val="32"/>
          <w:lang w:eastAsia="zh-CN"/>
        </w:rPr>
      </w:pPr>
      <w:r>
        <w:rPr>
          <w:rFonts w:hint="eastAsia" w:ascii="仿宋" w:hAnsi="仿宋" w:eastAsia="仿宋"/>
          <w:color w:val="auto"/>
          <w:kern w:val="0"/>
          <w:sz w:val="32"/>
          <w:szCs w:val="32"/>
        </w:rPr>
        <w:t xml:space="preserve">少 </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万元。其中，公务用车运行维护费</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 xml:space="preserve">万元，比 2025年减少 </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 xml:space="preserve">万元，公务用车购置 </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 xml:space="preserve">万元，比2025年减少 </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万元</w:t>
      </w:r>
      <w:r>
        <w:rPr>
          <w:rFonts w:hint="eastAsia" w:ascii="仿宋" w:hAnsi="仿宋" w:eastAsia="仿宋"/>
          <w:color w:val="auto"/>
          <w:kern w:val="0"/>
          <w:sz w:val="32"/>
          <w:szCs w:val="32"/>
          <w:lang w:eastAsia="zh-CN"/>
        </w:rPr>
        <w:t>。</w:t>
      </w:r>
    </w:p>
    <w:p w14:paraId="60353E9A">
      <w:pPr>
        <w:pStyle w:val="9"/>
        <w:rPr>
          <w:rFonts w:ascii="楷体" w:hAnsi="楷体" w:eastAsia="楷体" w:cs="楷体"/>
          <w:color w:val="auto"/>
          <w:sz w:val="32"/>
          <w:szCs w:val="32"/>
        </w:rPr>
      </w:pPr>
      <w:r>
        <w:rPr>
          <w:rFonts w:hint="eastAsia" w:ascii="仿宋" w:hAnsi="仿宋" w:eastAsia="仿宋"/>
          <w:color w:val="auto"/>
          <w:sz w:val="32"/>
          <w:szCs w:val="32"/>
        </w:rPr>
        <w:t xml:space="preserve">    </w:t>
      </w:r>
      <w:r>
        <w:rPr>
          <w:rFonts w:hint="eastAsia" w:ascii="楷体" w:hAnsi="楷体" w:eastAsia="楷体" w:cs="楷体"/>
          <w:color w:val="auto"/>
          <w:sz w:val="32"/>
          <w:szCs w:val="32"/>
        </w:rPr>
        <w:t>八、2026年政府性基金预算支出情况</w:t>
      </w:r>
    </w:p>
    <w:p w14:paraId="6CFED0B9">
      <w:pPr>
        <w:ind w:firstLine="640" w:firstLineChars="200"/>
        <w:jc w:val="left"/>
        <w:rPr>
          <w:rFonts w:ascii="仿宋" w:hAnsi="仿宋" w:eastAsia="仿宋"/>
          <w:color w:val="auto"/>
          <w:sz w:val="32"/>
          <w:szCs w:val="32"/>
        </w:rPr>
      </w:pPr>
      <w:r>
        <w:rPr>
          <w:rFonts w:hint="eastAsia" w:ascii="仿宋" w:hAnsi="仿宋" w:eastAsia="仿宋"/>
          <w:color w:val="auto"/>
          <w:sz w:val="32"/>
          <w:szCs w:val="32"/>
        </w:rPr>
        <w:t>2026年本单位无政府性基金预算支出</w:t>
      </w:r>
    </w:p>
    <w:p w14:paraId="39906816">
      <w:pPr>
        <w:pStyle w:val="9"/>
        <w:ind w:firstLine="640"/>
        <w:rPr>
          <w:rFonts w:ascii="楷体" w:hAnsi="楷体" w:eastAsia="楷体" w:cs="楷体"/>
          <w:color w:val="auto"/>
          <w:sz w:val="32"/>
          <w:szCs w:val="32"/>
        </w:rPr>
      </w:pPr>
      <w:r>
        <w:rPr>
          <w:rFonts w:hint="eastAsia" w:ascii="楷体" w:hAnsi="楷体" w:eastAsia="楷体" w:cs="楷体"/>
          <w:color w:val="auto"/>
          <w:sz w:val="32"/>
          <w:szCs w:val="32"/>
        </w:rPr>
        <w:t>九、2026年国有资本经营预算支出情况</w:t>
      </w:r>
    </w:p>
    <w:p w14:paraId="78271549">
      <w:pPr>
        <w:ind w:firstLine="640" w:firstLineChars="200"/>
        <w:jc w:val="left"/>
        <w:rPr>
          <w:rFonts w:ascii="仿宋" w:hAnsi="仿宋" w:eastAsia="仿宋"/>
          <w:color w:val="auto"/>
          <w:sz w:val="32"/>
          <w:szCs w:val="32"/>
        </w:rPr>
      </w:pPr>
      <w:r>
        <w:rPr>
          <w:rFonts w:hint="eastAsia" w:ascii="仿宋" w:hAnsi="仿宋" w:eastAsia="仿宋"/>
          <w:color w:val="auto"/>
          <w:sz w:val="32"/>
          <w:szCs w:val="32"/>
        </w:rPr>
        <w:t>2026年本单位无国有资本经营预算支出。</w:t>
      </w:r>
    </w:p>
    <w:p w14:paraId="028EDDC6">
      <w:pPr>
        <w:numPr>
          <w:ilvl w:val="0"/>
          <w:numId w:val="4"/>
        </w:numPr>
        <w:jc w:val="left"/>
        <w:rPr>
          <w:rFonts w:ascii="楷体" w:hAnsi="楷体" w:eastAsia="楷体" w:cs="楷体"/>
          <w:color w:val="auto"/>
          <w:sz w:val="32"/>
          <w:szCs w:val="32"/>
        </w:rPr>
      </w:pPr>
      <w:r>
        <w:rPr>
          <w:rFonts w:hint="eastAsia" w:ascii="楷体" w:hAnsi="楷体" w:eastAsia="楷体" w:cs="楷体"/>
          <w:color w:val="auto"/>
          <w:sz w:val="32"/>
          <w:szCs w:val="32"/>
        </w:rPr>
        <w:t>其他重要事项的说明情况</w:t>
      </w:r>
    </w:p>
    <w:p w14:paraId="4DBB8460">
      <w:pPr>
        <w:ind w:firstLine="640" w:firstLineChars="200"/>
        <w:jc w:val="left"/>
        <w:rPr>
          <w:rFonts w:ascii="楷体" w:hAnsi="楷体" w:eastAsia="楷体" w:cs="楷体"/>
          <w:color w:val="auto"/>
          <w:sz w:val="32"/>
          <w:szCs w:val="32"/>
        </w:rPr>
      </w:pPr>
      <w:r>
        <w:rPr>
          <w:rFonts w:hint="eastAsia" w:ascii="楷体" w:hAnsi="楷体" w:eastAsia="楷体" w:cs="楷体"/>
          <w:color w:val="auto"/>
          <w:sz w:val="32"/>
          <w:szCs w:val="32"/>
        </w:rPr>
        <w:t>（一）机关运行经费</w:t>
      </w:r>
    </w:p>
    <w:p w14:paraId="33FE9514">
      <w:pPr>
        <w:pStyle w:val="8"/>
        <w:ind w:firstLine="640"/>
        <w:rPr>
          <w:rFonts w:ascii="仿宋" w:hAnsi="仿宋" w:eastAsia="仿宋"/>
          <w:color w:val="auto"/>
          <w:sz w:val="32"/>
          <w:szCs w:val="32"/>
        </w:rPr>
      </w:pPr>
      <w:r>
        <w:rPr>
          <w:rFonts w:hint="eastAsia" w:ascii="仿宋" w:hAnsi="仿宋" w:eastAsia="仿宋"/>
          <w:color w:val="auto"/>
          <w:sz w:val="32"/>
          <w:szCs w:val="32"/>
        </w:rPr>
        <w:t>2026年本单位机关运行经费财政拨款预算</w:t>
      </w:r>
      <w:r>
        <w:rPr>
          <w:rFonts w:hint="eastAsia" w:ascii="仿宋" w:hAnsi="仿宋" w:eastAsia="仿宋"/>
          <w:color w:val="auto"/>
          <w:sz w:val="32"/>
          <w:szCs w:val="32"/>
          <w:lang w:val="en-US" w:eastAsia="zh-CN"/>
        </w:rPr>
        <w:t>410.37</w:t>
      </w:r>
      <w:r>
        <w:rPr>
          <w:rFonts w:hint="eastAsia" w:ascii="仿宋" w:hAnsi="仿宋" w:eastAsia="仿宋"/>
          <w:color w:val="auto"/>
          <w:sz w:val="32"/>
          <w:szCs w:val="32"/>
        </w:rPr>
        <w:t>万元，比 2025年预算增加</w:t>
      </w:r>
      <w:r>
        <w:rPr>
          <w:rFonts w:hint="eastAsia" w:ascii="仿宋" w:hAnsi="仿宋" w:eastAsia="仿宋"/>
          <w:color w:val="auto"/>
          <w:sz w:val="32"/>
          <w:szCs w:val="32"/>
          <w:lang w:val="en-US" w:eastAsia="zh-CN"/>
        </w:rPr>
        <w:t>361.42</w:t>
      </w:r>
      <w:r>
        <w:rPr>
          <w:rFonts w:hint="eastAsia" w:ascii="仿宋" w:hAnsi="仿宋" w:eastAsia="仿宋"/>
          <w:color w:val="auto"/>
          <w:sz w:val="32"/>
          <w:szCs w:val="32"/>
        </w:rPr>
        <w:t>万元，增长</w:t>
      </w:r>
      <w:r>
        <w:rPr>
          <w:rFonts w:hint="eastAsia" w:ascii="仿宋" w:hAnsi="仿宋" w:eastAsia="仿宋"/>
          <w:color w:val="auto"/>
          <w:sz w:val="32"/>
          <w:szCs w:val="32"/>
          <w:lang w:val="en-US" w:eastAsia="zh-CN"/>
        </w:rPr>
        <w:t>738.35</w:t>
      </w:r>
      <w:r>
        <w:rPr>
          <w:rFonts w:hint="eastAsia" w:ascii="仿宋" w:hAnsi="仿宋" w:eastAsia="仿宋"/>
          <w:color w:val="auto"/>
          <w:sz w:val="32"/>
          <w:szCs w:val="32"/>
        </w:rPr>
        <w:t>%，主要原因是</w:t>
      </w:r>
      <w:r>
        <w:rPr>
          <w:rFonts w:hint="eastAsia" w:ascii="仿宋" w:hAnsi="仿宋" w:eastAsia="仿宋"/>
          <w:color w:val="auto"/>
          <w:sz w:val="32"/>
          <w:szCs w:val="32"/>
          <w:lang w:val="en-US" w:eastAsia="zh-CN"/>
        </w:rPr>
        <w:t>按照2026年新预算执行标准核定</w:t>
      </w:r>
      <w:r>
        <w:rPr>
          <w:rFonts w:hint="eastAsia" w:ascii="仿宋" w:hAnsi="仿宋" w:eastAsia="仿宋"/>
          <w:color w:val="auto"/>
          <w:sz w:val="32"/>
          <w:szCs w:val="32"/>
        </w:rPr>
        <w:t>。</w:t>
      </w:r>
    </w:p>
    <w:p w14:paraId="3C4DC5AB">
      <w:pPr>
        <w:ind w:firstLine="640" w:firstLineChars="200"/>
        <w:jc w:val="left"/>
        <w:rPr>
          <w:rFonts w:ascii="楷体" w:hAnsi="楷体" w:eastAsia="楷体"/>
          <w:color w:val="auto"/>
          <w:sz w:val="32"/>
          <w:szCs w:val="32"/>
        </w:rPr>
      </w:pPr>
      <w:r>
        <w:rPr>
          <w:rFonts w:hint="eastAsia" w:ascii="楷体" w:hAnsi="楷体" w:eastAsia="楷体"/>
          <w:color w:val="auto"/>
          <w:sz w:val="32"/>
          <w:szCs w:val="32"/>
        </w:rPr>
        <w:t>（二）政府采购情况</w:t>
      </w:r>
    </w:p>
    <w:p w14:paraId="5E4EE068">
      <w:pPr>
        <w:ind w:firstLine="640" w:firstLineChars="200"/>
        <w:jc w:val="left"/>
        <w:rPr>
          <w:rFonts w:ascii="仿宋" w:hAnsi="仿宋" w:eastAsia="仿宋"/>
          <w:color w:val="auto"/>
          <w:sz w:val="32"/>
          <w:szCs w:val="32"/>
        </w:rPr>
      </w:pPr>
      <w:r>
        <w:rPr>
          <w:rFonts w:hint="eastAsia" w:ascii="仿宋" w:hAnsi="仿宋" w:eastAsia="仿宋"/>
          <w:color w:val="auto"/>
          <w:sz w:val="32"/>
          <w:szCs w:val="32"/>
        </w:rPr>
        <w:t>2026年政府采购预算总额</w:t>
      </w:r>
      <w:r>
        <w:rPr>
          <w:rFonts w:hint="eastAsia" w:ascii="仿宋" w:hAnsi="仿宋" w:eastAsia="仿宋"/>
          <w:color w:val="auto"/>
          <w:sz w:val="32"/>
          <w:szCs w:val="32"/>
          <w:lang w:val="en-US" w:eastAsia="zh-CN"/>
        </w:rPr>
        <w:t>21</w:t>
      </w:r>
      <w:r>
        <w:rPr>
          <w:rFonts w:hint="eastAsia" w:ascii="仿宋" w:hAnsi="仿宋" w:eastAsia="仿宋"/>
          <w:color w:val="auto"/>
          <w:sz w:val="32"/>
          <w:szCs w:val="32"/>
        </w:rPr>
        <w:t>万元，其中：政府采购办公设备和其他设备预算</w:t>
      </w:r>
      <w:r>
        <w:rPr>
          <w:rFonts w:hint="eastAsia" w:ascii="仿宋" w:hAnsi="仿宋" w:eastAsia="仿宋"/>
          <w:color w:val="auto"/>
          <w:sz w:val="32"/>
          <w:szCs w:val="32"/>
          <w:lang w:val="en-US" w:eastAsia="zh-CN"/>
        </w:rPr>
        <w:t>21</w:t>
      </w:r>
      <w:r>
        <w:rPr>
          <w:rFonts w:hint="eastAsia" w:ascii="仿宋" w:hAnsi="仿宋" w:eastAsia="仿宋"/>
          <w:color w:val="auto"/>
          <w:sz w:val="32"/>
          <w:szCs w:val="32"/>
        </w:rPr>
        <w:t xml:space="preserve">万元，政府采购工程预算 </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 xml:space="preserve"> 万元，政府采购服务预算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w:t>
      </w:r>
    </w:p>
    <w:p w14:paraId="32E1CB5D">
      <w:pPr>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（三）国有资产占有使用情况</w:t>
      </w:r>
    </w:p>
    <w:p w14:paraId="6E80D1C3">
      <w:pPr>
        <w:pStyle w:val="8"/>
        <w:ind w:firstLine="0" w:firstLineChars="0"/>
        <w:jc w:val="left"/>
        <w:rPr>
          <w:rFonts w:ascii="仿宋" w:hAnsi="仿宋" w:eastAsia="仿宋"/>
          <w:color w:val="auto"/>
          <w:sz w:val="32"/>
          <w:szCs w:val="32"/>
        </w:rPr>
      </w:pPr>
      <w:r>
        <w:rPr>
          <w:rFonts w:hint="eastAsia" w:ascii="仿宋" w:hAnsi="仿宋" w:eastAsia="仿宋"/>
          <w:color w:val="auto"/>
          <w:sz w:val="32"/>
          <w:szCs w:val="32"/>
        </w:rPr>
        <w:t xml:space="preserve">    截至2026年1月，部门本级和所属各预算单位共有车辆</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 xml:space="preserve"> 辆，其中，领导干部用车</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辆、一般公务用车</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辆,一般执法执勤用车</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辆、特种专业技术用车</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辆、其他用车</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辆，价值200万元以上大型设备</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台（套）。</w:t>
      </w:r>
    </w:p>
    <w:p w14:paraId="7CFB465B">
      <w:pPr>
        <w:pStyle w:val="8"/>
        <w:ind w:firstLine="640"/>
        <w:jc w:val="left"/>
        <w:rPr>
          <w:rFonts w:ascii="仿宋" w:hAnsi="仿宋" w:eastAsia="仿宋"/>
          <w:color w:val="auto"/>
          <w:sz w:val="32"/>
          <w:szCs w:val="32"/>
        </w:rPr>
      </w:pPr>
      <w:r>
        <w:rPr>
          <w:rFonts w:hint="eastAsia" w:ascii="仿宋" w:hAnsi="仿宋" w:eastAsia="仿宋"/>
          <w:color w:val="auto"/>
          <w:sz w:val="32"/>
          <w:szCs w:val="32"/>
        </w:rPr>
        <w:t>2026年部门预算安排购置车辆及价值200万元以上大型设备</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w:t>
      </w:r>
    </w:p>
    <w:p w14:paraId="6C4F4062">
      <w:pPr>
        <w:numPr>
          <w:ilvl w:val="0"/>
          <w:numId w:val="5"/>
        </w:numPr>
        <w:ind w:firstLine="640"/>
        <w:jc w:val="left"/>
        <w:rPr>
          <w:rFonts w:ascii="楷体" w:hAnsi="楷体" w:eastAsia="楷体"/>
          <w:color w:val="auto"/>
          <w:sz w:val="32"/>
          <w:szCs w:val="32"/>
        </w:rPr>
      </w:pPr>
      <w:r>
        <w:rPr>
          <w:rFonts w:hint="eastAsia" w:ascii="楷体" w:hAnsi="楷体" w:eastAsia="楷体"/>
          <w:color w:val="auto"/>
          <w:sz w:val="32"/>
          <w:szCs w:val="32"/>
        </w:rPr>
        <w:t>预算项目绩效目标管理情况</w:t>
      </w:r>
    </w:p>
    <w:p w14:paraId="2A5558C3">
      <w:pPr>
        <w:jc w:val="left"/>
        <w:rPr>
          <w:rFonts w:ascii="仿宋" w:hAnsi="仿宋" w:eastAsia="仿宋"/>
          <w:color w:val="auto"/>
          <w:sz w:val="32"/>
          <w:szCs w:val="32"/>
        </w:rPr>
      </w:pPr>
      <w:r>
        <w:rPr>
          <w:rFonts w:hint="eastAsia" w:ascii="仿宋" w:hAnsi="仿宋" w:eastAsia="仿宋"/>
          <w:color w:val="auto"/>
          <w:sz w:val="32"/>
          <w:szCs w:val="32"/>
        </w:rPr>
        <w:t xml:space="preserve">    按照全面实施预算绩效管理的要求，结合本部门职能和重点工作，2026年将</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个项目支出的绩效目标和指标向社会公开，涉及金额</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w:t>
      </w:r>
    </w:p>
    <w:p w14:paraId="3C527A83">
      <w:pPr>
        <w:jc w:val="center"/>
        <w:rPr>
          <w:rFonts w:ascii="仿宋" w:hAnsi="仿宋" w:eastAsia="仿宋"/>
          <w:color w:val="auto"/>
          <w:sz w:val="32"/>
          <w:szCs w:val="32"/>
        </w:rPr>
      </w:pPr>
    </w:p>
    <w:p w14:paraId="5BEAB39C">
      <w:pPr>
        <w:jc w:val="center"/>
        <w:rPr>
          <w:rFonts w:ascii="黑体" w:hAnsi="黑体" w:eastAsia="黑体"/>
          <w:color w:val="auto"/>
          <w:sz w:val="32"/>
          <w:szCs w:val="32"/>
        </w:rPr>
      </w:pPr>
      <w:r>
        <w:rPr>
          <w:rFonts w:hint="eastAsia" w:ascii="黑体" w:hAnsi="黑体" w:eastAsia="黑体"/>
          <w:color w:val="auto"/>
          <w:sz w:val="32"/>
          <w:szCs w:val="32"/>
        </w:rPr>
        <w:t>第三部分  名词解释</w:t>
      </w:r>
    </w:p>
    <w:p w14:paraId="72BA8D45">
      <w:pPr>
        <w:ind w:firstLine="640" w:firstLineChars="200"/>
        <w:rPr>
          <w:rFonts w:ascii="仿宋_GB2312" w:eastAsia="仿宋_GB2312"/>
          <w:color w:val="auto"/>
          <w:sz w:val="32"/>
          <w:szCs w:val="32"/>
        </w:rPr>
      </w:pPr>
      <w:r>
        <w:rPr>
          <w:rFonts w:hint="eastAsia" w:ascii="仿宋_GB2312" w:eastAsia="仿宋_GB2312"/>
          <w:color w:val="auto"/>
          <w:sz w:val="32"/>
          <w:szCs w:val="32"/>
        </w:rPr>
        <w:t>一、一般公共预算拨款收入：指本级财政通过当年一般公共预算拨付的资金。</w:t>
      </w:r>
    </w:p>
    <w:p w14:paraId="2B7CFECE">
      <w:pPr>
        <w:ind w:firstLine="640" w:firstLineChars="200"/>
        <w:rPr>
          <w:rFonts w:ascii="仿宋_GB2312" w:eastAsia="仿宋_GB2312"/>
          <w:color w:val="auto"/>
          <w:sz w:val="32"/>
          <w:szCs w:val="32"/>
        </w:rPr>
      </w:pPr>
      <w:r>
        <w:rPr>
          <w:rFonts w:hint="eastAsia" w:ascii="仿宋_GB2312" w:eastAsia="仿宋_GB2312"/>
          <w:color w:val="auto"/>
          <w:sz w:val="32"/>
          <w:szCs w:val="32"/>
        </w:rPr>
        <w:t>二、政府性基金预算拨款收入：指本级财政通过当年政府性基金预算拨付的资金。</w:t>
      </w:r>
    </w:p>
    <w:p w14:paraId="19E1AEFC">
      <w:pPr>
        <w:ind w:firstLine="640" w:firstLineChars="200"/>
        <w:rPr>
          <w:rFonts w:ascii="仿宋_GB2312" w:eastAsia="仿宋_GB2312"/>
          <w:color w:val="auto"/>
          <w:sz w:val="32"/>
          <w:szCs w:val="32"/>
        </w:rPr>
      </w:pPr>
      <w:r>
        <w:rPr>
          <w:rFonts w:hint="eastAsia" w:ascii="仿宋_GB2312" w:eastAsia="仿宋_GB2312"/>
          <w:color w:val="auto"/>
          <w:sz w:val="32"/>
          <w:szCs w:val="32"/>
        </w:rPr>
        <w:t>三、国有资本经营预算拨款收入：指本级财政通过当年国有资本经营预算拨付的资金。</w:t>
      </w:r>
    </w:p>
    <w:p w14:paraId="253786D9">
      <w:pPr>
        <w:ind w:firstLine="640" w:firstLineChars="200"/>
        <w:rPr>
          <w:rFonts w:ascii="仿宋_GB2312" w:eastAsia="仿宋_GB2312"/>
          <w:color w:val="auto"/>
          <w:sz w:val="32"/>
          <w:szCs w:val="32"/>
        </w:rPr>
      </w:pPr>
      <w:r>
        <w:rPr>
          <w:rFonts w:hint="eastAsia" w:ascii="仿宋_GB2312" w:eastAsia="仿宋_GB2312"/>
          <w:color w:val="auto"/>
          <w:sz w:val="32"/>
          <w:szCs w:val="32"/>
        </w:rPr>
        <w:t>四、其他收入：指除上述收入以外的各项收入。包括银行存款利息收入。</w:t>
      </w:r>
    </w:p>
    <w:p w14:paraId="2EE06A32">
      <w:pPr>
        <w:ind w:firstLine="640" w:firstLineChars="200"/>
        <w:rPr>
          <w:rFonts w:ascii="仿宋_GB2312" w:eastAsia="仿宋_GB2312"/>
          <w:color w:val="auto"/>
          <w:sz w:val="32"/>
          <w:szCs w:val="32"/>
        </w:rPr>
      </w:pPr>
      <w:r>
        <w:rPr>
          <w:rFonts w:hint="eastAsia" w:ascii="仿宋_GB2312" w:eastAsia="仿宋_GB2312"/>
          <w:color w:val="auto"/>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color w:val="auto"/>
          <w:sz w:val="32"/>
          <w:szCs w:val="32"/>
        </w:rPr>
      </w:pPr>
      <w:r>
        <w:rPr>
          <w:rFonts w:hint="eastAsia" w:ascii="仿宋_GB2312" w:eastAsia="仿宋_GB2312"/>
          <w:color w:val="auto"/>
          <w:sz w:val="32"/>
          <w:szCs w:val="32"/>
        </w:rPr>
        <w:t>六、项目支出：指在基本支出之外为完成特定行政工作任务和事业发展目标所发生的各项支出。</w:t>
      </w:r>
    </w:p>
    <w:p w14:paraId="0FD705C5">
      <w:pPr>
        <w:ind w:firstLine="640" w:firstLineChars="200"/>
        <w:rPr>
          <w:rFonts w:ascii="仿宋_GB2312" w:eastAsia="仿宋_GB2312"/>
          <w:color w:val="auto"/>
          <w:sz w:val="32"/>
          <w:szCs w:val="32"/>
        </w:rPr>
      </w:pPr>
      <w:r>
        <w:rPr>
          <w:rFonts w:hint="eastAsia" w:ascii="仿宋_GB2312" w:eastAsia="仿宋_GB2312"/>
          <w:color w:val="auto"/>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color w:val="auto"/>
          <w:sz w:val="32"/>
          <w:szCs w:val="32"/>
        </w:rPr>
      </w:pPr>
      <w:r>
        <w:rPr>
          <w:rFonts w:hint="eastAsia" w:ascii="仿宋_GB2312" w:eastAsia="仿宋_GB2312"/>
          <w:color w:val="auto"/>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color w:val="auto"/>
          <w:sz w:val="32"/>
          <w:szCs w:val="32"/>
        </w:rPr>
      </w:pPr>
      <w:r>
        <w:rPr>
          <w:rFonts w:hint="eastAsia" w:ascii="仿宋_GB2312" w:eastAsia="仿宋_GB2312"/>
          <w:color w:val="auto"/>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color w:val="auto"/>
          <w:sz w:val="32"/>
          <w:szCs w:val="32"/>
        </w:rPr>
      </w:pPr>
      <w:r>
        <w:rPr>
          <w:rFonts w:hint="eastAsia" w:ascii="仿宋_GB2312" w:eastAsia="仿宋_GB2312"/>
          <w:color w:val="auto"/>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color w:val="auto"/>
          <w:sz w:val="32"/>
          <w:szCs w:val="32"/>
        </w:rPr>
      </w:pPr>
      <w:r>
        <w:rPr>
          <w:rFonts w:hint="eastAsia" w:ascii="仿宋_GB2312" w:eastAsia="仿宋_GB2312"/>
          <w:color w:val="auto"/>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color w:val="auto"/>
          <w:kern w:val="0"/>
          <w:sz w:val="32"/>
          <w:szCs w:val="32"/>
        </w:rPr>
      </w:pPr>
      <w:r>
        <w:rPr>
          <w:rFonts w:hint="eastAsia" w:ascii="仿宋_GB2312" w:eastAsia="仿宋_GB2312"/>
          <w:color w:val="auto"/>
          <w:sz w:val="32"/>
          <w:szCs w:val="32"/>
        </w:rPr>
        <w:t>十二、项目支出绩效目标：</w:t>
      </w:r>
      <w:r>
        <w:rPr>
          <w:rFonts w:ascii="仿宋_GB2312" w:hAnsi="仿宋_GB2312" w:eastAsia="仿宋_GB2312" w:cs="Times New Roman"/>
          <w:color w:val="auto"/>
          <w:kern w:val="0"/>
          <w:sz w:val="32"/>
          <w:szCs w:val="32"/>
        </w:rPr>
        <w:t>是以项目支出为对象，以项目实施所带来的产出和结果为主要内容，</w:t>
      </w:r>
      <w:r>
        <w:rPr>
          <w:rFonts w:hint="eastAsia" w:ascii="仿宋_GB2312" w:hAnsi="仿宋_GB2312" w:eastAsia="仿宋_GB2312" w:cs="Times New Roman"/>
          <w:color w:val="auto"/>
          <w:kern w:val="0"/>
          <w:sz w:val="32"/>
          <w:szCs w:val="32"/>
        </w:rPr>
        <w:t>为</w:t>
      </w:r>
      <w:r>
        <w:rPr>
          <w:rFonts w:ascii="仿宋_GB2312" w:hAnsi="仿宋_GB2312" w:eastAsia="仿宋_GB2312" w:cs="Times New Roman"/>
          <w:color w:val="auto"/>
          <w:kern w:val="0"/>
          <w:sz w:val="32"/>
          <w:szCs w:val="32"/>
        </w:rPr>
        <w:t>促进预算单位完成特定工作任务或事业发展</w:t>
      </w:r>
      <w:r>
        <w:rPr>
          <w:rFonts w:hint="eastAsia" w:ascii="仿宋_GB2312" w:hAnsi="仿宋_GB2312" w:eastAsia="仿宋_GB2312" w:cs="Times New Roman"/>
          <w:color w:val="auto"/>
          <w:kern w:val="0"/>
          <w:sz w:val="32"/>
          <w:szCs w:val="32"/>
        </w:rPr>
        <w:t>所制定的</w:t>
      </w:r>
      <w:r>
        <w:rPr>
          <w:rFonts w:ascii="仿宋_GB2312" w:hAnsi="仿宋_GB2312" w:eastAsia="仿宋_GB2312" w:cs="Times New Roman"/>
          <w:color w:val="auto"/>
          <w:kern w:val="0"/>
          <w:sz w:val="32"/>
          <w:szCs w:val="32"/>
        </w:rPr>
        <w:t>目标</w:t>
      </w:r>
      <w:r>
        <w:rPr>
          <w:rFonts w:hint="eastAsia" w:ascii="仿宋_GB2312" w:hAnsi="仿宋_GB2312" w:eastAsia="仿宋_GB2312" w:cs="Times New Roman"/>
          <w:color w:val="auto"/>
          <w:kern w:val="0"/>
          <w:sz w:val="32"/>
          <w:szCs w:val="32"/>
        </w:rPr>
        <w:t>。</w:t>
      </w:r>
    </w:p>
    <w:p w14:paraId="4CFE9CC6">
      <w:pPr>
        <w:ind w:firstLine="640" w:firstLineChars="200"/>
        <w:rPr>
          <w:rFonts w:ascii="仿宋_GB2312" w:eastAsia="仿宋_GB2312"/>
          <w:color w:val="auto"/>
          <w:sz w:val="32"/>
          <w:szCs w:val="32"/>
        </w:rPr>
      </w:pPr>
    </w:p>
    <w:p w14:paraId="38433E3C">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68250850">
      <w:pPr>
        <w:jc w:val="left"/>
        <w:rPr>
          <w:rFonts w:ascii="仿宋" w:hAnsi="仿宋" w:eastAsia="仿宋"/>
          <w:color w:val="auto"/>
          <w:sz w:val="32"/>
          <w:szCs w:val="32"/>
        </w:rPr>
      </w:pPr>
    </w:p>
    <w:p w14:paraId="757010AF">
      <w:pPr>
        <w:jc w:val="left"/>
        <w:rPr>
          <w:rFonts w:ascii="仿宋" w:hAnsi="仿宋" w:eastAsia="仿宋"/>
          <w:color w:val="auto"/>
          <w:sz w:val="32"/>
          <w:szCs w:val="32"/>
        </w:rPr>
      </w:pPr>
    </w:p>
    <w:p w14:paraId="1B9DA4B3">
      <w:pPr>
        <w:jc w:val="center"/>
        <w:rPr>
          <w:rFonts w:ascii="仿宋" w:hAnsi="仿宋" w:eastAsia="仿宋"/>
          <w:color w:val="auto"/>
          <w:sz w:val="32"/>
          <w:szCs w:val="32"/>
        </w:rPr>
      </w:pPr>
      <w:r>
        <w:rPr>
          <w:rFonts w:hint="eastAsia" w:ascii="仿宋" w:hAnsi="仿宋" w:eastAsia="仿宋"/>
          <w:color w:val="auto"/>
          <w:sz w:val="32"/>
          <w:szCs w:val="32"/>
        </w:rPr>
        <w:t>第四部分  预算表格</w:t>
      </w:r>
    </w:p>
    <w:p w14:paraId="0252C055">
      <w:pPr>
        <w:jc w:val="left"/>
        <w:rPr>
          <w:rFonts w:ascii="仿宋" w:hAnsi="仿宋" w:eastAsia="仿宋"/>
          <w:color w:val="auto"/>
          <w:sz w:val="32"/>
          <w:szCs w:val="32"/>
        </w:rPr>
      </w:pPr>
      <w:r>
        <w:rPr>
          <w:rFonts w:hint="eastAsia" w:ascii="仿宋" w:hAnsi="仿宋" w:eastAsia="仿宋"/>
          <w:color w:val="auto"/>
          <w:sz w:val="32"/>
          <w:szCs w:val="32"/>
        </w:rPr>
        <w:t>2026年部门预算表套表（预算一体化-“预算编制”模块-预算编制帆软报表查询中提取相应数据）。</w:t>
      </w:r>
    </w:p>
    <w:p w14:paraId="2FFB2AE9">
      <w:pPr>
        <w:rPr>
          <w:rFonts w:ascii="仿宋" w:hAnsi="仿宋" w:eastAsia="仿宋"/>
          <w:color w:val="auto"/>
          <w:sz w:val="32"/>
          <w:szCs w:val="32"/>
        </w:rPr>
      </w:pPr>
    </w:p>
    <w:p w14:paraId="00E3AD42">
      <w:pPr>
        <w:rPr>
          <w:rFonts w:ascii="仿宋" w:hAnsi="仿宋" w:eastAsia="仿宋"/>
          <w:b/>
          <w:color w:val="auto"/>
          <w:sz w:val="32"/>
          <w:szCs w:val="32"/>
        </w:rPr>
      </w:pPr>
      <w:r>
        <w:rPr>
          <w:rFonts w:hint="eastAsia" w:ascii="仿宋" w:hAnsi="仿宋" w:eastAsia="仿宋"/>
          <w:b/>
          <w:color w:val="auto"/>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905109"/>
    <w:multiLevelType w:val="singleLevel"/>
    <w:tmpl w:val="DE905109"/>
    <w:lvl w:ilvl="0" w:tentative="0">
      <w:start w:val="1"/>
      <w:numFmt w:val="chineseCounting"/>
      <w:suff w:val="nothing"/>
      <w:lvlText w:val="（%1）"/>
      <w:lvlJc w:val="left"/>
      <w:pPr>
        <w:ind w:left="-50"/>
      </w:pPr>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4234D3"/>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16</Pages>
  <Words>2517</Words>
  <Characters>2762</Characters>
  <Lines>21</Lines>
  <Paragraphs>6</Paragraphs>
  <TotalTime>4</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梅钦禹</cp:lastModifiedBy>
  <dcterms:modified xsi:type="dcterms:W3CDTF">2026-03-26T06:52:22Z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eyJoZGlkIjoiMDA1ZTFjNDE0Zjg5MzZkZmQ3ZDQzOTJmOTY2YzdlZDUiLCJ1c2VySWQiOiIzODA3NDkyNzEifQ==</vt:lpwstr>
  </property>
</Properties>
</file>